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5EAE2" w14:textId="77777777" w:rsidR="00020388" w:rsidRDefault="00020388" w:rsidP="00020388">
      <w:pPr>
        <w:pStyle w:val="AmmAnnexeTitre"/>
      </w:pPr>
      <w:r>
        <w:t>ANNEXE I</w:t>
      </w:r>
    </w:p>
    <w:p w14:paraId="062099E0" w14:textId="77777777" w:rsidR="00020388" w:rsidRPr="000D5DAD" w:rsidRDefault="00020388" w:rsidP="00020388">
      <w:pPr>
        <w:pStyle w:val="AmmAnnexeSousTitre"/>
      </w:pPr>
      <w:r>
        <w:t>RESUME DES CARACTERISTIQUES DU PRODUIT</w:t>
      </w:r>
    </w:p>
    <w:p w14:paraId="2BBBDB93" w14:textId="77777777" w:rsidR="00020388" w:rsidRDefault="00020388" w:rsidP="00020388">
      <w:pPr>
        <w:pStyle w:val="AmmAnnexeTitre1"/>
      </w:pPr>
      <w:bookmarkStart w:id="0" w:name="_Toc142278912"/>
      <w:r>
        <w:t>1.</w:t>
      </w:r>
      <w:r>
        <w:tab/>
        <w:t>DENOMINATION DU MEDICAMENT</w:t>
      </w:r>
      <w:bookmarkEnd w:id="0"/>
    </w:p>
    <w:p w14:paraId="60E36EE4" w14:textId="77777777" w:rsidR="00020388" w:rsidRPr="007801A6" w:rsidRDefault="00020388" w:rsidP="00020388">
      <w:pPr>
        <w:pStyle w:val="AmmCorpsTexteGras"/>
      </w:pPr>
      <w:r w:rsidRPr="007801A6">
        <w:t xml:space="preserve">CARMIN D’INDIGO PROVINGO 40 mg/5 </w:t>
      </w:r>
      <w:proofErr w:type="spellStart"/>
      <w:r w:rsidRPr="007801A6">
        <w:t>m</w:t>
      </w:r>
      <w:r>
        <w:t>L</w:t>
      </w:r>
      <w:proofErr w:type="spellEnd"/>
      <w:r w:rsidRPr="007801A6">
        <w:t>, solution injectable</w:t>
      </w:r>
    </w:p>
    <w:p w14:paraId="10220E87" w14:textId="77777777" w:rsidR="00020388" w:rsidRDefault="00020388" w:rsidP="00020388">
      <w:pPr>
        <w:pStyle w:val="AmmAnnexeTitre1"/>
        <w:rPr>
          <w:caps w:val="0"/>
        </w:rPr>
      </w:pPr>
      <w:bookmarkStart w:id="1" w:name="_Toc142278913"/>
      <w:r>
        <w:t>2.</w:t>
      </w:r>
      <w:r>
        <w:tab/>
      </w:r>
      <w:r>
        <w:rPr>
          <w:caps w:val="0"/>
        </w:rPr>
        <w:t>COMPOSITION QUALITATIVE ET QUANTITATIVE</w:t>
      </w:r>
      <w:bookmarkEnd w:id="1"/>
    </w:p>
    <w:p w14:paraId="05940187" w14:textId="77777777" w:rsidR="00020388" w:rsidRDefault="00020388" w:rsidP="00020388">
      <w:pPr>
        <w:pStyle w:val="AmmComposition"/>
      </w:pPr>
      <w:r>
        <w:t>Carmin d’indigo (indigotine)</w:t>
      </w:r>
      <w:r w:rsidRPr="00967A3A">
        <w:tab/>
      </w:r>
      <w:r>
        <w:t>40 mg</w:t>
      </w:r>
      <w:r w:rsidRPr="00967A3A">
        <w:t xml:space="preserve"> </w:t>
      </w:r>
    </w:p>
    <w:p w14:paraId="1A0B392A" w14:textId="77777777" w:rsidR="00020388" w:rsidRPr="00E404AD" w:rsidRDefault="00020388" w:rsidP="00020388">
      <w:pPr>
        <w:pStyle w:val="AmmCorpsTexte"/>
        <w:jc w:val="center"/>
      </w:pPr>
      <w:r>
        <w:t xml:space="preserve">Pour 5 </w:t>
      </w:r>
      <w:proofErr w:type="spellStart"/>
      <w:r>
        <w:t>mL</w:t>
      </w:r>
      <w:proofErr w:type="spellEnd"/>
      <w:r>
        <w:t xml:space="preserve"> de solution injectable.</w:t>
      </w:r>
    </w:p>
    <w:p w14:paraId="3B9CBEAC" w14:textId="77777777" w:rsidR="00020388" w:rsidRDefault="00020388" w:rsidP="00020388">
      <w:pPr>
        <w:pStyle w:val="AmmCorpsTexte"/>
      </w:pPr>
      <w:r>
        <w:t>Pour la liste complète des excipients, voir rubrique 6.1.</w:t>
      </w:r>
    </w:p>
    <w:p w14:paraId="074BB217" w14:textId="77777777" w:rsidR="00020388" w:rsidRDefault="00020388" w:rsidP="00020388">
      <w:pPr>
        <w:pStyle w:val="AmmAnnexeTitre1"/>
        <w:rPr>
          <w:caps w:val="0"/>
        </w:rPr>
      </w:pPr>
      <w:bookmarkStart w:id="2" w:name="_Toc142278914"/>
      <w:r>
        <w:rPr>
          <w:caps w:val="0"/>
        </w:rPr>
        <w:t>3.</w:t>
      </w:r>
      <w:r>
        <w:rPr>
          <w:caps w:val="0"/>
        </w:rPr>
        <w:tab/>
        <w:t>FORME PHARMACEUTIQUE</w:t>
      </w:r>
      <w:bookmarkEnd w:id="2"/>
    </w:p>
    <w:p w14:paraId="7DFBDB84" w14:textId="77777777" w:rsidR="00020388" w:rsidRDefault="00020388" w:rsidP="00020388">
      <w:pPr>
        <w:pStyle w:val="AmmCorpsTexte"/>
      </w:pPr>
      <w:bookmarkStart w:id="3" w:name="_Toc142278915"/>
      <w:r>
        <w:t>Solution injectable.</w:t>
      </w:r>
    </w:p>
    <w:p w14:paraId="42215BE0" w14:textId="77777777" w:rsidR="00020388" w:rsidRDefault="00020388" w:rsidP="00020388">
      <w:pPr>
        <w:pStyle w:val="AmmCorpsTexte"/>
      </w:pPr>
      <w:r>
        <w:t>Solution injectable de couleur bleue à bleu-violet.</w:t>
      </w:r>
    </w:p>
    <w:p w14:paraId="14CE8335" w14:textId="77777777" w:rsidR="00020388" w:rsidRDefault="00020388" w:rsidP="00020388">
      <w:pPr>
        <w:pStyle w:val="AmmCorpsTexte"/>
      </w:pPr>
      <w:r>
        <w:t>pH : 3,0 à 6,5</w:t>
      </w:r>
    </w:p>
    <w:p w14:paraId="518C5222" w14:textId="77777777" w:rsidR="00020388" w:rsidRDefault="00020388" w:rsidP="00020388">
      <w:pPr>
        <w:pStyle w:val="AmmCorpsTexte"/>
      </w:pPr>
      <w:r>
        <w:t xml:space="preserve">Osmolarité : </w:t>
      </w:r>
      <w:r w:rsidRPr="00276915">
        <w:t>0</w:t>
      </w:r>
      <w:r>
        <w:t>,</w:t>
      </w:r>
      <w:r w:rsidRPr="00276915">
        <w:t>025-0</w:t>
      </w:r>
      <w:r>
        <w:t>,</w:t>
      </w:r>
      <w:r w:rsidRPr="00276915">
        <w:t>030 Osmol/</w:t>
      </w:r>
      <w:r>
        <w:t>L</w:t>
      </w:r>
    </w:p>
    <w:p w14:paraId="0F37BFF1" w14:textId="77777777" w:rsidR="00020388" w:rsidRDefault="00020388" w:rsidP="00020388">
      <w:pPr>
        <w:pStyle w:val="AmmAnnexeTitre1"/>
        <w:rPr>
          <w:caps w:val="0"/>
        </w:rPr>
      </w:pPr>
      <w:r>
        <w:rPr>
          <w:caps w:val="0"/>
        </w:rPr>
        <w:t>4.</w:t>
      </w:r>
      <w:r>
        <w:rPr>
          <w:caps w:val="0"/>
        </w:rPr>
        <w:tab/>
        <w:t>DONNEES CLINIQUES</w:t>
      </w:r>
      <w:bookmarkEnd w:id="3"/>
    </w:p>
    <w:p w14:paraId="68CB2F01" w14:textId="77777777" w:rsidR="00020388" w:rsidRDefault="00020388" w:rsidP="00020388">
      <w:pPr>
        <w:pStyle w:val="AmmAnnexeTitre2"/>
      </w:pPr>
      <w:bookmarkStart w:id="4" w:name="_Toc142278916"/>
      <w:r>
        <w:t>4.1.</w:t>
      </w:r>
      <w:r>
        <w:tab/>
        <w:t>Indications thérapeutiques</w:t>
      </w:r>
      <w:bookmarkEnd w:id="4"/>
    </w:p>
    <w:p w14:paraId="55D72AE1" w14:textId="77777777" w:rsidR="00020388" w:rsidRDefault="00020388" w:rsidP="00020388">
      <w:pPr>
        <w:pStyle w:val="AmmCorpsTexte"/>
        <w:rPr>
          <w:noProof/>
          <w:szCs w:val="22"/>
        </w:rPr>
      </w:pPr>
      <w:bookmarkStart w:id="5" w:name="_Toc142278917"/>
      <w:r w:rsidRPr="008B6C21">
        <w:rPr>
          <w:noProof/>
          <w:szCs w:val="22"/>
        </w:rPr>
        <w:t>Ce médicament est à usage diagnostique uniquement.</w:t>
      </w:r>
    </w:p>
    <w:p w14:paraId="3A94DAB2" w14:textId="77777777" w:rsidR="00020388" w:rsidRPr="008B6C21" w:rsidRDefault="00020388" w:rsidP="00020388">
      <w:pPr>
        <w:pStyle w:val="AmmCorpsTexte"/>
        <w:rPr>
          <w:noProof/>
          <w:szCs w:val="22"/>
        </w:rPr>
      </w:pPr>
      <w:r>
        <w:rPr>
          <w:noProof/>
          <w:szCs w:val="22"/>
        </w:rPr>
        <w:t xml:space="preserve">Carmin d’indigo Provingo est indiqué </w:t>
      </w:r>
      <w:r w:rsidRPr="00E404AD">
        <w:rPr>
          <w:noProof/>
          <w:szCs w:val="22"/>
        </w:rPr>
        <w:t>dans la détection per-opératoire des complications urétérales suspectées au cours de la chirurgie abdomino-pelvienne.</w:t>
      </w:r>
    </w:p>
    <w:p w14:paraId="7B96BA26" w14:textId="77777777" w:rsidR="00020388" w:rsidRDefault="00020388" w:rsidP="00020388">
      <w:pPr>
        <w:pStyle w:val="AmmAnnexeTitre2"/>
      </w:pPr>
      <w:r>
        <w:t>4.2.</w:t>
      </w:r>
      <w:r>
        <w:tab/>
        <w:t>Posologie et mode d'administration</w:t>
      </w:r>
      <w:bookmarkEnd w:id="5"/>
    </w:p>
    <w:p w14:paraId="60703BB0" w14:textId="77777777" w:rsidR="00020388" w:rsidRPr="009C0628" w:rsidRDefault="00020388" w:rsidP="00020388">
      <w:pPr>
        <w:pStyle w:val="AmmAnnexeTitre3"/>
      </w:pPr>
      <w:bookmarkStart w:id="6" w:name="_Toc142278918"/>
      <w:r w:rsidRPr="009C0628">
        <w:t>Posologie</w:t>
      </w:r>
    </w:p>
    <w:p w14:paraId="4CAEC0C1" w14:textId="77777777" w:rsidR="00020388" w:rsidRPr="00E404AD" w:rsidRDefault="00020388" w:rsidP="00020388">
      <w:pPr>
        <w:pStyle w:val="AmmAnnexeTitre4"/>
        <w:rPr>
          <w:i w:val="0"/>
          <w:iCs/>
          <w:u w:val="none"/>
        </w:rPr>
      </w:pPr>
      <w:r w:rsidRPr="00E404AD">
        <w:rPr>
          <w:i w:val="0"/>
          <w:iCs/>
          <w:u w:val="none"/>
        </w:rPr>
        <w:t>Ce médicament est à injecter par voie intraveineuse. La posologie initiale recommandée est de de 5</w:t>
      </w:r>
      <w:r>
        <w:rPr>
          <w:i w:val="0"/>
          <w:iCs/>
          <w:u w:val="none"/>
        </w:rPr>
        <w:t> </w:t>
      </w:r>
      <w:proofErr w:type="spellStart"/>
      <w:r w:rsidRPr="00E404AD">
        <w:rPr>
          <w:i w:val="0"/>
          <w:iCs/>
          <w:u w:val="none"/>
        </w:rPr>
        <w:t>m</w:t>
      </w:r>
      <w:r>
        <w:rPr>
          <w:i w:val="0"/>
          <w:iCs/>
          <w:u w:val="none"/>
        </w:rPr>
        <w:t>L</w:t>
      </w:r>
      <w:proofErr w:type="spellEnd"/>
      <w:r w:rsidRPr="00E404AD">
        <w:rPr>
          <w:i w:val="0"/>
          <w:iCs/>
          <w:u w:val="none"/>
        </w:rPr>
        <w:t xml:space="preserve"> </w:t>
      </w:r>
      <w:r>
        <w:rPr>
          <w:i w:val="0"/>
          <w:iCs/>
          <w:u w:val="none"/>
        </w:rPr>
        <w:t>(1 </w:t>
      </w:r>
      <w:r w:rsidRPr="00E404AD">
        <w:rPr>
          <w:i w:val="0"/>
          <w:iCs/>
          <w:u w:val="none"/>
        </w:rPr>
        <w:t>ampoule</w:t>
      </w:r>
      <w:r>
        <w:rPr>
          <w:i w:val="0"/>
          <w:iCs/>
          <w:u w:val="none"/>
        </w:rPr>
        <w:t>)</w:t>
      </w:r>
      <w:r w:rsidRPr="00E404AD">
        <w:rPr>
          <w:i w:val="0"/>
          <w:iCs/>
          <w:u w:val="none"/>
        </w:rPr>
        <w:t xml:space="preserve"> en injection intraveineuse lente.</w:t>
      </w:r>
    </w:p>
    <w:p w14:paraId="67258294" w14:textId="77777777" w:rsidR="00020388" w:rsidRPr="00E404AD" w:rsidRDefault="00020388" w:rsidP="00020388">
      <w:pPr>
        <w:pStyle w:val="AmmAnnexeTitre4"/>
        <w:rPr>
          <w:i w:val="0"/>
          <w:iCs/>
          <w:u w:val="none"/>
        </w:rPr>
      </w:pPr>
      <w:r w:rsidRPr="00E404AD">
        <w:rPr>
          <w:i w:val="0"/>
          <w:iCs/>
          <w:u w:val="none"/>
        </w:rPr>
        <w:t xml:space="preserve">Une seconde ampoule </w:t>
      </w:r>
      <w:r>
        <w:rPr>
          <w:i w:val="0"/>
          <w:iCs/>
          <w:u w:val="none"/>
        </w:rPr>
        <w:t xml:space="preserve">de 5 </w:t>
      </w:r>
      <w:proofErr w:type="spellStart"/>
      <w:r>
        <w:rPr>
          <w:i w:val="0"/>
          <w:iCs/>
          <w:u w:val="none"/>
        </w:rPr>
        <w:t>mL</w:t>
      </w:r>
      <w:proofErr w:type="spellEnd"/>
      <w:r>
        <w:rPr>
          <w:i w:val="0"/>
          <w:iCs/>
          <w:u w:val="none"/>
        </w:rPr>
        <w:t xml:space="preserve"> </w:t>
      </w:r>
      <w:r w:rsidRPr="00E404AD">
        <w:rPr>
          <w:i w:val="0"/>
          <w:iCs/>
          <w:u w:val="none"/>
        </w:rPr>
        <w:t>peut être administrée 20 à 30 minutes après la première injection si nécessaire.</w:t>
      </w:r>
    </w:p>
    <w:p w14:paraId="250F5922" w14:textId="77777777" w:rsidR="00020388" w:rsidRPr="007821DC" w:rsidRDefault="00020388" w:rsidP="00020388">
      <w:pPr>
        <w:pStyle w:val="AmmAnnexeTitre4"/>
        <w:rPr>
          <w:i w:val="0"/>
          <w:color w:val="538135"/>
          <w:u w:val="none"/>
        </w:rPr>
      </w:pPr>
      <w:r w:rsidRPr="006E655A">
        <w:t>Population pédiatrique</w:t>
      </w:r>
    </w:p>
    <w:p w14:paraId="58DB405F" w14:textId="77777777" w:rsidR="00020388" w:rsidRDefault="00020388" w:rsidP="00020388">
      <w:pPr>
        <w:pStyle w:val="AmmCorpsTexte"/>
      </w:pPr>
      <w:r w:rsidRPr="00B839C2">
        <w:t>La sécurité</w:t>
      </w:r>
      <w:r>
        <w:t xml:space="preserve"> </w:t>
      </w:r>
      <w:r w:rsidRPr="00B839C2">
        <w:t>et</w:t>
      </w:r>
      <w:r>
        <w:t xml:space="preserve"> </w:t>
      </w:r>
      <w:r w:rsidRPr="00B839C2">
        <w:t xml:space="preserve">l’efficacité de </w:t>
      </w:r>
      <w:r>
        <w:rPr>
          <w:noProof/>
          <w:szCs w:val="22"/>
        </w:rPr>
        <w:t xml:space="preserve">Carmin d’indigo Provingo chez les enfants </w:t>
      </w:r>
      <w:r w:rsidRPr="008B6C21">
        <w:t>n’ont pas été établie</w:t>
      </w:r>
      <w:r>
        <w:t>s.</w:t>
      </w:r>
    </w:p>
    <w:p w14:paraId="6E41603D" w14:textId="77777777" w:rsidR="00020388" w:rsidRDefault="00020388" w:rsidP="00020388">
      <w:pPr>
        <w:pStyle w:val="AmmAnnexeTitre4"/>
      </w:pPr>
      <w:r>
        <w:t>Insuffisants rénaux</w:t>
      </w:r>
    </w:p>
    <w:p w14:paraId="5D15FB4B" w14:textId="77777777" w:rsidR="00020388" w:rsidRDefault="00020388" w:rsidP="00020388">
      <w:pPr>
        <w:pStyle w:val="AmmCorpsTexte"/>
      </w:pPr>
      <w:r>
        <w:t xml:space="preserve">Chez les patients ayant une clairance de la créatinine ≥ 10 </w:t>
      </w:r>
      <w:proofErr w:type="spellStart"/>
      <w:r>
        <w:t>mL</w:t>
      </w:r>
      <w:proofErr w:type="spellEnd"/>
      <w:r>
        <w:t xml:space="preserve">/min, </w:t>
      </w:r>
      <w:r>
        <w:rPr>
          <w:noProof/>
          <w:szCs w:val="22"/>
        </w:rPr>
        <w:t xml:space="preserve">Carmin d’indigo Provingo </w:t>
      </w:r>
      <w:r>
        <w:t>peut être administré.</w:t>
      </w:r>
    </w:p>
    <w:p w14:paraId="2F566542" w14:textId="77777777" w:rsidR="00020388" w:rsidRDefault="00020388" w:rsidP="00020388">
      <w:pPr>
        <w:pStyle w:val="AmmCorpsTexte"/>
      </w:pPr>
      <w:r>
        <w:t xml:space="preserve">Chez les patients ayant une clairance de la créatinine &lt; 10 </w:t>
      </w:r>
      <w:proofErr w:type="spellStart"/>
      <w:r>
        <w:t>mL</w:t>
      </w:r>
      <w:proofErr w:type="spellEnd"/>
      <w:r>
        <w:t xml:space="preserve">/min, </w:t>
      </w:r>
      <w:r>
        <w:rPr>
          <w:noProof/>
          <w:szCs w:val="22"/>
        </w:rPr>
        <w:t>Carmin d’indigo Provingo</w:t>
      </w:r>
      <w:r>
        <w:t xml:space="preserve"> ne doit pas être utilisé (voir rubrique 4.4).</w:t>
      </w:r>
    </w:p>
    <w:p w14:paraId="207755DE" w14:textId="77777777" w:rsidR="00020388" w:rsidRDefault="00020388" w:rsidP="00020388">
      <w:pPr>
        <w:pStyle w:val="AmmAnnexeTitre4"/>
      </w:pPr>
      <w:r>
        <w:t>Insuffisants hépatiques</w:t>
      </w:r>
    </w:p>
    <w:p w14:paraId="1D25E4AA" w14:textId="77777777" w:rsidR="00020388" w:rsidRPr="008B6C21" w:rsidRDefault="00020388" w:rsidP="00020388">
      <w:pPr>
        <w:pStyle w:val="AmmCorpsTexte"/>
      </w:pPr>
      <w:r>
        <w:t xml:space="preserve">L’excrétion de </w:t>
      </w:r>
      <w:r>
        <w:rPr>
          <w:noProof/>
          <w:szCs w:val="22"/>
        </w:rPr>
        <w:t>Carmin d’indigo Provingo</w:t>
      </w:r>
      <w:r>
        <w:t xml:space="preserve"> est essentiellement rénale. Bien qu’il n’existe pas de données chez les patients insuffisants hépatiques, aucune adaptation posologique n’est nécessaire.</w:t>
      </w:r>
    </w:p>
    <w:p w14:paraId="51C21E61" w14:textId="77777777" w:rsidR="00020388" w:rsidRDefault="00020388" w:rsidP="00020388">
      <w:pPr>
        <w:pStyle w:val="AmmAnnexeTitre4"/>
      </w:pPr>
      <w:r>
        <w:t>Sujets âgés</w:t>
      </w:r>
    </w:p>
    <w:p w14:paraId="1F145A2A" w14:textId="77777777" w:rsidR="00020388" w:rsidRDefault="00020388" w:rsidP="00020388">
      <w:pPr>
        <w:pStyle w:val="AmmCorpsTexte"/>
      </w:pPr>
      <w:r>
        <w:t>Aucune adaptation posologique n’est nécessaire.</w:t>
      </w:r>
    </w:p>
    <w:p w14:paraId="6AD3B873" w14:textId="77777777" w:rsidR="00020388" w:rsidRPr="007F7A57" w:rsidRDefault="00020388" w:rsidP="00020388">
      <w:pPr>
        <w:pStyle w:val="AmmAnnexeTitre3"/>
      </w:pPr>
      <w:r w:rsidRPr="008B6C21">
        <w:t>Mode d’administration</w:t>
      </w:r>
    </w:p>
    <w:p w14:paraId="575800A6" w14:textId="77777777" w:rsidR="00020388" w:rsidRDefault="00020388" w:rsidP="00020388">
      <w:pPr>
        <w:pStyle w:val="AmmCorpsTexte"/>
      </w:pPr>
      <w:r w:rsidRPr="00EC20A8">
        <w:t>Injection intraveineuse lente sous surveillance de la pression artérielle et de la fréquence cardiaque.</w:t>
      </w:r>
    </w:p>
    <w:p w14:paraId="661DB74B" w14:textId="77777777" w:rsidR="00020388" w:rsidRPr="00F119EE" w:rsidRDefault="00020388" w:rsidP="00020388">
      <w:pPr>
        <w:pStyle w:val="AmmAnnexeTitre4"/>
        <w:keepNext/>
        <w:keepLines/>
      </w:pPr>
      <w:r w:rsidRPr="00F119EE">
        <w:lastRenderedPageBreak/>
        <w:t>Précaution à prendre avant d’administrer ce médicament</w:t>
      </w:r>
    </w:p>
    <w:p w14:paraId="1D0DB408" w14:textId="77777777" w:rsidR="00020388" w:rsidRDefault="00020388" w:rsidP="00020388">
      <w:pPr>
        <w:pStyle w:val="AmmCorpsTexte"/>
        <w:keepNext/>
        <w:keepLines/>
      </w:pPr>
      <w:r w:rsidRPr="00B05BEF">
        <w:t xml:space="preserve">Carmin d’indigo </w:t>
      </w:r>
      <w:proofErr w:type="spellStart"/>
      <w:r w:rsidRPr="00B05BEF">
        <w:t>Provingo</w:t>
      </w:r>
      <w:proofErr w:type="spellEnd"/>
      <w:r>
        <w:t xml:space="preserve"> étant d’une couleur bleue intense, l'utilisation d'un filtre est recommandée au moment de l’administration par voie intraveineuse (par exemple un filtre de 0,45 μm, d’une surface de filtration d’au moins 2,8 cm², en membrane hydrophile </w:t>
      </w:r>
      <w:proofErr w:type="spellStart"/>
      <w:r>
        <w:t>polyethersulfone</w:t>
      </w:r>
      <w:proofErr w:type="spellEnd"/>
      <w:r>
        <w:t>).</w:t>
      </w:r>
    </w:p>
    <w:p w14:paraId="31C04D15" w14:textId="77777777" w:rsidR="00020388" w:rsidRDefault="00020388" w:rsidP="00020388">
      <w:pPr>
        <w:pStyle w:val="AmmAnnexeTitre2"/>
      </w:pPr>
      <w:r>
        <w:t>4.3.</w:t>
      </w:r>
      <w:r>
        <w:tab/>
        <w:t>Contre-indications</w:t>
      </w:r>
      <w:bookmarkEnd w:id="6"/>
    </w:p>
    <w:p w14:paraId="3959DE9E" w14:textId="77777777" w:rsidR="00020388" w:rsidRDefault="00020388" w:rsidP="00020388">
      <w:pPr>
        <w:pStyle w:val="AmmCorpsTexte"/>
      </w:pPr>
      <w:bookmarkStart w:id="7" w:name="_Toc142278919"/>
      <w:r>
        <w:t>Hypersensibilité à la substance active ou à l’un des excipients mentionnés à la rubrique 6.1.</w:t>
      </w:r>
    </w:p>
    <w:p w14:paraId="47BE31E2" w14:textId="77777777" w:rsidR="00020388" w:rsidRDefault="00020388" w:rsidP="00020388">
      <w:pPr>
        <w:pStyle w:val="AmmAnnexeTitre2"/>
      </w:pPr>
      <w:r>
        <w:t>4.4.</w:t>
      </w:r>
      <w:r>
        <w:tab/>
        <w:t>Mises en garde spéciales et précautions d'emploi</w:t>
      </w:r>
      <w:bookmarkEnd w:id="7"/>
    </w:p>
    <w:p w14:paraId="668C86D0" w14:textId="77777777" w:rsidR="00020388" w:rsidRDefault="00020388" w:rsidP="00020388">
      <w:pPr>
        <w:pStyle w:val="AmmAnnexeTitre3"/>
      </w:pPr>
      <w:bookmarkStart w:id="8" w:name="_Toc142278920"/>
      <w:r>
        <w:t>Mises en garde spéciales</w:t>
      </w:r>
    </w:p>
    <w:p w14:paraId="381CBFFE" w14:textId="77777777" w:rsidR="00020388" w:rsidRDefault="00020388" w:rsidP="00020388">
      <w:pPr>
        <w:pStyle w:val="AmmCorpsTexte"/>
      </w:pPr>
      <w:r>
        <w:t xml:space="preserve">Le carmin d’indigo peut entraîner une élévation transitoire de la pression artérielle et une bradycardie réactionnelle en particulier chez les patients sous anesthésie générale ou sous </w:t>
      </w:r>
      <w:proofErr w:type="spellStart"/>
      <w:r>
        <w:t>rachi-anesthésie</w:t>
      </w:r>
      <w:proofErr w:type="spellEnd"/>
      <w:r>
        <w:t>. De rares réactions de type idiosyncrasique avec bradycardie et hypotension ont également été rapportées. Il est donc nécessaire de surveiller la fréquence cardiaque et la pression artérielle au moment et dans les minutes suivant l’injection.</w:t>
      </w:r>
    </w:p>
    <w:p w14:paraId="41FE325D" w14:textId="77777777" w:rsidR="00020388" w:rsidRDefault="00020388" w:rsidP="00020388">
      <w:pPr>
        <w:pStyle w:val="AmmCorpsTexte"/>
      </w:pPr>
      <w:r>
        <w:t>L’administration intraveineuse doit être interrompue en cas de survenue des symptômes suivants : bradycardie, tachycardie, hypotension, hypertension, survenue d’un rash ou érythème cutané, symptômes respiratoires à type de dyspnée ou de bronchospasme.</w:t>
      </w:r>
    </w:p>
    <w:p w14:paraId="4FDEF160" w14:textId="77777777" w:rsidR="00020388" w:rsidRDefault="00020388" w:rsidP="00020388">
      <w:pPr>
        <w:pStyle w:val="AmmCorpsTexte"/>
      </w:pPr>
      <w:r>
        <w:t xml:space="preserve">Chez les patients ayant une clairance de la créatinine &lt; 10 </w:t>
      </w:r>
      <w:proofErr w:type="spellStart"/>
      <w:r>
        <w:t>mL</w:t>
      </w:r>
      <w:proofErr w:type="spellEnd"/>
      <w:r>
        <w:t xml:space="preserve">/min, le délai d’apparition du carmin d’indigo dans les urines peut être retardé de plusieurs minutes. Carmin d’indigo </w:t>
      </w:r>
      <w:proofErr w:type="spellStart"/>
      <w:r>
        <w:t>Provingo</w:t>
      </w:r>
      <w:proofErr w:type="spellEnd"/>
      <w:r>
        <w:t xml:space="preserve"> ne doit donc pas être utilisé chez les patients ayant une clairance de la créatinine &lt; 10 </w:t>
      </w:r>
      <w:proofErr w:type="spellStart"/>
      <w:r>
        <w:t>mL</w:t>
      </w:r>
      <w:proofErr w:type="spellEnd"/>
      <w:r>
        <w:t>/min.</w:t>
      </w:r>
    </w:p>
    <w:p w14:paraId="36DED6AD" w14:textId="77777777" w:rsidR="00020388" w:rsidRDefault="00020388" w:rsidP="00020388">
      <w:pPr>
        <w:pStyle w:val="AmmCorpsTexte"/>
      </w:pPr>
      <w:r>
        <w:t>Le carmin d’indigo peut interférer avec les méthodes oxymétriques au pouls.</w:t>
      </w:r>
    </w:p>
    <w:p w14:paraId="1DDE8CC8" w14:textId="77777777" w:rsidR="00020388" w:rsidRDefault="00020388" w:rsidP="00020388">
      <w:pPr>
        <w:pStyle w:val="AmmCorpsTexte"/>
      </w:pPr>
      <w:r>
        <w:t>Une coloration des urines peut être observée après administration du carmin d’indigo.</w:t>
      </w:r>
    </w:p>
    <w:p w14:paraId="7DCB97A4" w14:textId="77777777" w:rsidR="00020388" w:rsidRDefault="00020388" w:rsidP="00020388">
      <w:pPr>
        <w:pStyle w:val="AmmAnnexeTitre3"/>
      </w:pPr>
      <w:r>
        <w:t>Précautions d’emploi</w:t>
      </w:r>
    </w:p>
    <w:p w14:paraId="06855742" w14:textId="77777777" w:rsidR="00020388" w:rsidRDefault="00020388" w:rsidP="00020388">
      <w:pPr>
        <w:pStyle w:val="AmmCorpsTexte"/>
      </w:pPr>
      <w:r>
        <w:t>Le carmin d’indigo doit être utilisé avec précaution en cas :</w:t>
      </w:r>
    </w:p>
    <w:p w14:paraId="44712903" w14:textId="77777777" w:rsidR="00020388" w:rsidRDefault="00020388" w:rsidP="00020388">
      <w:pPr>
        <w:pStyle w:val="AmmListePuces1"/>
        <w:jc w:val="both"/>
      </w:pPr>
      <w:r>
        <w:t>de prise concomitante de médicaments bradycardisants,</w:t>
      </w:r>
    </w:p>
    <w:p w14:paraId="443F2E1C" w14:textId="77777777" w:rsidR="00020388" w:rsidRDefault="00020388" w:rsidP="00020388">
      <w:pPr>
        <w:pStyle w:val="AmmListePuces1"/>
        <w:jc w:val="both"/>
      </w:pPr>
      <w:r>
        <w:t>de troubles du rythme ou de la conduction cardiaque,</w:t>
      </w:r>
    </w:p>
    <w:p w14:paraId="46D8AFBA" w14:textId="77777777" w:rsidR="00020388" w:rsidRDefault="00020388" w:rsidP="00020388">
      <w:pPr>
        <w:pStyle w:val="AmmListePuces1"/>
        <w:jc w:val="both"/>
      </w:pPr>
      <w:r>
        <w:t>d’une hypertension artérielle,</w:t>
      </w:r>
    </w:p>
    <w:p w14:paraId="01DA5E52" w14:textId="77777777" w:rsidR="00020388" w:rsidRDefault="00020388" w:rsidP="00020388">
      <w:pPr>
        <w:pStyle w:val="AmmListePuces1"/>
        <w:jc w:val="both"/>
      </w:pPr>
      <w:r>
        <w:t>d’une fréquence cardiaque basse,</w:t>
      </w:r>
    </w:p>
    <w:p w14:paraId="31612AE9" w14:textId="77777777" w:rsidR="00020388" w:rsidRDefault="00020388" w:rsidP="00020388">
      <w:pPr>
        <w:pStyle w:val="AmmListePuces1"/>
        <w:spacing w:after="120"/>
        <w:jc w:val="both"/>
      </w:pPr>
      <w:r>
        <w:t>de troubles coronariens en raison de son effet vasoconstricteur périphérique.</w:t>
      </w:r>
    </w:p>
    <w:p w14:paraId="77B7EC2F" w14:textId="77777777" w:rsidR="00020388" w:rsidRDefault="00020388" w:rsidP="00020388">
      <w:pPr>
        <w:pStyle w:val="AmmCorpsTexte"/>
      </w:pPr>
      <w:r>
        <w:t>L’utilisation du carmin d’indigo doit être évitée chez les patients présentant :</w:t>
      </w:r>
    </w:p>
    <w:p w14:paraId="65ECB91D" w14:textId="77777777" w:rsidR="00020388" w:rsidRDefault="00020388" w:rsidP="00020388">
      <w:pPr>
        <w:pStyle w:val="AmmListePuces1"/>
        <w:jc w:val="both"/>
      </w:pPr>
      <w:r>
        <w:t>une insuffisance cardiaque non équilibrée,</w:t>
      </w:r>
    </w:p>
    <w:p w14:paraId="4586790F" w14:textId="77777777" w:rsidR="00020388" w:rsidRDefault="00020388" w:rsidP="00020388">
      <w:pPr>
        <w:pStyle w:val="AmmListePuces1"/>
        <w:jc w:val="both"/>
      </w:pPr>
      <w:r>
        <w:t>des antécédents de manifestations allergiques,</w:t>
      </w:r>
    </w:p>
    <w:p w14:paraId="52DF0106" w14:textId="77777777" w:rsidR="00020388" w:rsidRPr="007B11A7" w:rsidRDefault="00020388" w:rsidP="00020388">
      <w:pPr>
        <w:pStyle w:val="AmmListePuces1"/>
        <w:jc w:val="both"/>
      </w:pPr>
      <w:r>
        <w:t>une instabilité hémodynamique.</w:t>
      </w:r>
    </w:p>
    <w:p w14:paraId="50373572" w14:textId="77777777" w:rsidR="00020388" w:rsidRPr="00707325" w:rsidRDefault="00020388" w:rsidP="00020388">
      <w:pPr>
        <w:pStyle w:val="AmmAnnexeTitre2"/>
      </w:pPr>
      <w:r w:rsidRPr="00707325">
        <w:t>4.5.</w:t>
      </w:r>
      <w:r w:rsidRPr="00707325">
        <w:tab/>
        <w:t>Interactions avec d'autres médicaments et autres formes d'interactions</w:t>
      </w:r>
      <w:bookmarkEnd w:id="8"/>
    </w:p>
    <w:p w14:paraId="710A3053" w14:textId="77777777" w:rsidR="00020388" w:rsidRDefault="00020388" w:rsidP="00020388">
      <w:pPr>
        <w:pStyle w:val="AmmCorpsTexte"/>
      </w:pPr>
      <w:bookmarkStart w:id="9" w:name="_Toc142278921"/>
      <w:r>
        <w:t>Aucune étude d’interaction n’a été réalisée.</w:t>
      </w:r>
    </w:p>
    <w:p w14:paraId="2EECDF28" w14:textId="77777777" w:rsidR="00020388" w:rsidRDefault="00020388" w:rsidP="00020388">
      <w:pPr>
        <w:pStyle w:val="AmmAnnexeTitre2"/>
      </w:pPr>
      <w:bookmarkStart w:id="10" w:name="_Toc142278925"/>
      <w:bookmarkStart w:id="11" w:name="_Toc142278926"/>
      <w:bookmarkStart w:id="12" w:name="_Toc142278928"/>
      <w:bookmarkEnd w:id="9"/>
      <w:r w:rsidRPr="002025A9">
        <w:t>4.6.</w:t>
      </w:r>
      <w:r w:rsidRPr="002025A9">
        <w:tab/>
        <w:t>Fertilité, grossesse et allaitement</w:t>
      </w:r>
      <w:bookmarkEnd w:id="10"/>
    </w:p>
    <w:p w14:paraId="5039D6E0" w14:textId="77777777" w:rsidR="00020388" w:rsidRDefault="00020388" w:rsidP="00020388">
      <w:pPr>
        <w:pStyle w:val="AmmAnnexeTitre3"/>
      </w:pPr>
      <w:r>
        <w:t>Grossesse</w:t>
      </w:r>
      <w:bookmarkEnd w:id="11"/>
    </w:p>
    <w:p w14:paraId="55F524F1" w14:textId="77777777" w:rsidR="00020388" w:rsidRDefault="00020388" w:rsidP="00020388">
      <w:pPr>
        <w:pStyle w:val="AmmCorpsTexte"/>
      </w:pPr>
      <w:r>
        <w:t>Il n’existe pas de données ou il existe de données limitées sur l’utilisation du carmin d’indigo chez la femme enceinte. Les études effectuées chez l’animal sont insuffisantes pour permettre de conclure sur la toxicité sur la reproduction (voir rubrique 5.3).</w:t>
      </w:r>
    </w:p>
    <w:p w14:paraId="38971C06" w14:textId="77777777" w:rsidR="00020388" w:rsidRPr="00C06844" w:rsidRDefault="00020388" w:rsidP="00020388">
      <w:pPr>
        <w:pStyle w:val="AmmCorpsTexte"/>
      </w:pPr>
      <w:r>
        <w:t xml:space="preserve">Carmin d’indigo </w:t>
      </w:r>
      <w:proofErr w:type="spellStart"/>
      <w:r>
        <w:t>Provingo</w:t>
      </w:r>
      <w:proofErr w:type="spellEnd"/>
      <w:r>
        <w:t xml:space="preserve"> n’est pas recommandé pendant la grossesse et chez les femmes en âge de procréer n’utilisant pas de contraception.</w:t>
      </w:r>
    </w:p>
    <w:p w14:paraId="181AF04B" w14:textId="77777777" w:rsidR="00020388" w:rsidRDefault="00020388" w:rsidP="00020388">
      <w:pPr>
        <w:pStyle w:val="AmmAnnexeTitre3"/>
      </w:pPr>
      <w:bookmarkStart w:id="13" w:name="_Toc142278927"/>
      <w:r>
        <w:t>Allaitement</w:t>
      </w:r>
      <w:bookmarkEnd w:id="13"/>
    </w:p>
    <w:p w14:paraId="5C81261E" w14:textId="77777777" w:rsidR="00020388" w:rsidRDefault="00020388" w:rsidP="00020388">
      <w:pPr>
        <w:pStyle w:val="AmmCorpsTexte"/>
      </w:pPr>
      <w:r>
        <w:t>On ne sait pas si le carmin d’indigo ou ses métabolites sont excrétés dans le lait maternel. Un risque  pour les nouveau-nés/nourrissons ne peut être exclu.</w:t>
      </w:r>
    </w:p>
    <w:p w14:paraId="61A02191" w14:textId="77777777" w:rsidR="00020388" w:rsidRPr="00B453C6" w:rsidRDefault="00020388" w:rsidP="00020388">
      <w:pPr>
        <w:pStyle w:val="AmmCorpsTexte"/>
      </w:pPr>
      <w:r>
        <w:lastRenderedPageBreak/>
        <w:t>Une décision doit être prise soit d’interrompre l’allaitement soit d’interrompre/de s’abstenir du traitement avec le carmin d’indigo en prenant en compte le bénéfice de l’allaitement pour l’enfant au regard du bénéfice du traitement pour la femme.</w:t>
      </w:r>
    </w:p>
    <w:p w14:paraId="57349B41" w14:textId="77777777" w:rsidR="00020388" w:rsidRDefault="00020388" w:rsidP="00020388">
      <w:pPr>
        <w:pStyle w:val="AmmAnnexeTitre2"/>
      </w:pPr>
      <w:r>
        <w:t>4.7.</w:t>
      </w:r>
      <w:r>
        <w:tab/>
        <w:t>Effets sur l'aptitude à conduire des véhicules et à utiliser des machines</w:t>
      </w:r>
      <w:bookmarkEnd w:id="12"/>
    </w:p>
    <w:p w14:paraId="1834F5D1" w14:textId="77777777" w:rsidR="00020388" w:rsidRDefault="00020388" w:rsidP="00020388">
      <w:pPr>
        <w:pStyle w:val="AmmCorpsTexte"/>
        <w:rPr>
          <w:lang w:val="fr-BE"/>
        </w:rPr>
      </w:pPr>
      <w:bookmarkStart w:id="14" w:name="_Toc142278929"/>
      <w:r w:rsidRPr="006B218C">
        <w:rPr>
          <w:lang w:val="fr-BE"/>
        </w:rPr>
        <w:t>Sans objet.</w:t>
      </w:r>
    </w:p>
    <w:p w14:paraId="42C7074D" w14:textId="77777777" w:rsidR="00020388" w:rsidRDefault="00020388" w:rsidP="00020388">
      <w:pPr>
        <w:pStyle w:val="AmmAnnexeTitre2"/>
      </w:pPr>
      <w:r>
        <w:t>4.8.</w:t>
      </w:r>
      <w:r>
        <w:tab/>
        <w:t>Effets indésirables</w:t>
      </w:r>
      <w:bookmarkEnd w:id="14"/>
    </w:p>
    <w:p w14:paraId="686FED89" w14:textId="77777777" w:rsidR="00020388" w:rsidRDefault="00020388" w:rsidP="00020388">
      <w:pPr>
        <w:pStyle w:val="AmmCorpsTexte"/>
      </w:pPr>
      <w:r>
        <w:t>Les effets indésirables les plus fréquents du carmin d’indigo sont essentiellement liés à son activité alpha-adrénergique et sont d’ordre cardiovasculaire.</w:t>
      </w:r>
    </w:p>
    <w:p w14:paraId="28F8956F" w14:textId="77777777" w:rsidR="00020388" w:rsidRDefault="00020388" w:rsidP="00020388">
      <w:pPr>
        <w:pStyle w:val="AmmCorpsTexte"/>
      </w:pPr>
      <w:r>
        <w:t>D’autres effets à type de réactions idiosyncrasiques comme des modifications de la pression artérielle ou du rythme cardiaque ou des réactions anaphylactoïdes ont également été décrits. Les effets indésirables graves du carmin d’indigo sont très rares.</w:t>
      </w:r>
    </w:p>
    <w:p w14:paraId="6389960B" w14:textId="77777777" w:rsidR="00020388" w:rsidRDefault="00020388" w:rsidP="00020388">
      <w:pPr>
        <w:pStyle w:val="AmmCorpsTexte"/>
      </w:pPr>
      <w:r>
        <w:t xml:space="preserve">Les effets indésirables sont présentés dans le tableau ci-dessous par système organe classe et par fréquence, selon les catégories suivantes : très fréquent (≥ 1/10) ; fréquent (≥ 1/100, &lt; 1/10) ; peu fréquent (≥ 1/1 000, &lt; 1/100), rare (≥ 1/10 000, &lt; 1/1 000) et très rare (&lt; 1/10 000). Au sein de chaque groupe de fréquence, les effets indésirables sont présentés par ordre décroissant de gravité.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118"/>
        <w:gridCol w:w="2127"/>
      </w:tblGrid>
      <w:tr w:rsidR="00020388" w:rsidRPr="00E10E61" w14:paraId="767997EE" w14:textId="77777777" w:rsidTr="00046E58">
        <w:tc>
          <w:tcPr>
            <w:tcW w:w="3686" w:type="dxa"/>
            <w:shd w:val="clear" w:color="auto" w:fill="auto"/>
          </w:tcPr>
          <w:p w14:paraId="304E1238" w14:textId="77777777" w:rsidR="00020388" w:rsidRPr="00CB2638" w:rsidRDefault="00020388" w:rsidP="00046E58">
            <w:pPr>
              <w:pStyle w:val="AmmListePuces1"/>
              <w:numPr>
                <w:ilvl w:val="0"/>
                <w:numId w:val="0"/>
              </w:numPr>
              <w:spacing w:before="120" w:after="120"/>
              <w:rPr>
                <w:rFonts w:eastAsia="Cambria"/>
                <w:b/>
                <w:bCs/>
              </w:rPr>
            </w:pPr>
            <w:r w:rsidRPr="00CB2638">
              <w:rPr>
                <w:rFonts w:eastAsia="Cambria"/>
                <w:b/>
                <w:bCs/>
              </w:rPr>
              <w:t>Classe de systèmes d</w:t>
            </w:r>
            <w:r w:rsidRPr="00FC7429">
              <w:rPr>
                <w:rFonts w:eastAsia="Cambria"/>
                <w:b/>
                <w:bCs/>
              </w:rPr>
              <w:t>’organe</w:t>
            </w:r>
          </w:p>
        </w:tc>
        <w:tc>
          <w:tcPr>
            <w:tcW w:w="3118" w:type="dxa"/>
            <w:shd w:val="clear" w:color="auto" w:fill="auto"/>
          </w:tcPr>
          <w:p w14:paraId="3E1DA93D" w14:textId="77777777" w:rsidR="00020388" w:rsidRPr="00FC7429" w:rsidRDefault="00020388" w:rsidP="00046E58">
            <w:pPr>
              <w:pStyle w:val="AmmListePuces1"/>
              <w:numPr>
                <w:ilvl w:val="0"/>
                <w:numId w:val="0"/>
              </w:numPr>
              <w:spacing w:before="120" w:after="120"/>
              <w:rPr>
                <w:rFonts w:eastAsia="Cambria"/>
                <w:b/>
                <w:bCs/>
              </w:rPr>
            </w:pPr>
            <w:r w:rsidRPr="00FC7429">
              <w:rPr>
                <w:rFonts w:eastAsia="Cambria"/>
                <w:b/>
                <w:bCs/>
              </w:rPr>
              <w:t>Effets indésirables</w:t>
            </w:r>
          </w:p>
        </w:tc>
        <w:tc>
          <w:tcPr>
            <w:tcW w:w="2127" w:type="dxa"/>
            <w:shd w:val="clear" w:color="auto" w:fill="auto"/>
          </w:tcPr>
          <w:p w14:paraId="12F25A29" w14:textId="77777777" w:rsidR="00020388" w:rsidRPr="00FC7429" w:rsidRDefault="00020388" w:rsidP="00046E58">
            <w:pPr>
              <w:pStyle w:val="AmmListePuces1"/>
              <w:numPr>
                <w:ilvl w:val="0"/>
                <w:numId w:val="0"/>
              </w:numPr>
              <w:spacing w:before="120" w:after="120"/>
              <w:rPr>
                <w:rFonts w:eastAsia="Cambria"/>
                <w:b/>
                <w:bCs/>
              </w:rPr>
            </w:pPr>
            <w:r w:rsidRPr="00FC7429">
              <w:rPr>
                <w:rFonts w:eastAsia="Cambria"/>
                <w:b/>
                <w:bCs/>
              </w:rPr>
              <w:t>Fréquence</w:t>
            </w:r>
          </w:p>
        </w:tc>
      </w:tr>
      <w:tr w:rsidR="00020388" w:rsidRPr="00E10E61" w14:paraId="41992EEF" w14:textId="77777777" w:rsidTr="00046E58">
        <w:tc>
          <w:tcPr>
            <w:tcW w:w="3686" w:type="dxa"/>
            <w:vMerge w:val="restart"/>
            <w:shd w:val="clear" w:color="auto" w:fill="auto"/>
          </w:tcPr>
          <w:p w14:paraId="31C678C7" w14:textId="77777777" w:rsidR="00020388" w:rsidRPr="00E10E61" w:rsidRDefault="00020388" w:rsidP="00046E58">
            <w:pPr>
              <w:pStyle w:val="AmmListePuces1"/>
              <w:numPr>
                <w:ilvl w:val="0"/>
                <w:numId w:val="0"/>
              </w:numPr>
              <w:rPr>
                <w:rFonts w:eastAsia="Cambria"/>
              </w:rPr>
            </w:pPr>
            <w:r w:rsidRPr="00E10E61">
              <w:rPr>
                <w:rFonts w:eastAsia="Cambria"/>
              </w:rPr>
              <w:t>Affections cardiaques</w:t>
            </w:r>
          </w:p>
        </w:tc>
        <w:tc>
          <w:tcPr>
            <w:tcW w:w="3118" w:type="dxa"/>
            <w:shd w:val="clear" w:color="auto" w:fill="auto"/>
          </w:tcPr>
          <w:p w14:paraId="261432C0" w14:textId="77777777" w:rsidR="00020388" w:rsidRPr="00E10E61" w:rsidRDefault="00020388" w:rsidP="00046E58">
            <w:pPr>
              <w:pStyle w:val="AmmListePuces1"/>
              <w:numPr>
                <w:ilvl w:val="0"/>
                <w:numId w:val="0"/>
              </w:numPr>
              <w:rPr>
                <w:rFonts w:eastAsia="Cambria"/>
              </w:rPr>
            </w:pPr>
            <w:r w:rsidRPr="00E10E61">
              <w:rPr>
                <w:rFonts w:eastAsia="Cambria"/>
              </w:rPr>
              <w:t>Hypertension transitoire</w:t>
            </w:r>
          </w:p>
        </w:tc>
        <w:tc>
          <w:tcPr>
            <w:tcW w:w="2127" w:type="dxa"/>
            <w:shd w:val="clear" w:color="auto" w:fill="auto"/>
          </w:tcPr>
          <w:p w14:paraId="6FEBBC06" w14:textId="77777777" w:rsidR="00020388" w:rsidRPr="00E10E61" w:rsidRDefault="00020388" w:rsidP="00046E58">
            <w:pPr>
              <w:pStyle w:val="AmmListePuces1"/>
              <w:numPr>
                <w:ilvl w:val="0"/>
                <w:numId w:val="0"/>
              </w:numPr>
              <w:rPr>
                <w:rFonts w:eastAsia="Cambria"/>
              </w:rPr>
            </w:pPr>
            <w:r w:rsidRPr="00E10E61">
              <w:rPr>
                <w:rFonts w:eastAsia="Cambria"/>
              </w:rPr>
              <w:t>Très fréquent</w:t>
            </w:r>
          </w:p>
        </w:tc>
      </w:tr>
      <w:tr w:rsidR="00020388" w:rsidRPr="00E10E61" w14:paraId="51517BEF" w14:textId="77777777" w:rsidTr="00046E58">
        <w:tc>
          <w:tcPr>
            <w:tcW w:w="3686" w:type="dxa"/>
            <w:vMerge/>
            <w:shd w:val="clear" w:color="auto" w:fill="auto"/>
          </w:tcPr>
          <w:p w14:paraId="2CAA714C" w14:textId="77777777" w:rsidR="00020388" w:rsidRPr="00E10E61" w:rsidRDefault="00020388" w:rsidP="00046E58">
            <w:pPr>
              <w:pStyle w:val="AmmListePuces1"/>
              <w:numPr>
                <w:ilvl w:val="0"/>
                <w:numId w:val="0"/>
              </w:numPr>
              <w:rPr>
                <w:rFonts w:eastAsia="Cambria"/>
              </w:rPr>
            </w:pPr>
          </w:p>
        </w:tc>
        <w:tc>
          <w:tcPr>
            <w:tcW w:w="3118" w:type="dxa"/>
            <w:shd w:val="clear" w:color="auto" w:fill="auto"/>
          </w:tcPr>
          <w:p w14:paraId="21C94EB9" w14:textId="77777777" w:rsidR="00020388" w:rsidRPr="00E10E61" w:rsidRDefault="00020388" w:rsidP="00046E58">
            <w:pPr>
              <w:pStyle w:val="AmmListePuces1"/>
              <w:numPr>
                <w:ilvl w:val="0"/>
                <w:numId w:val="0"/>
              </w:numPr>
              <w:rPr>
                <w:rFonts w:eastAsia="Cambria"/>
              </w:rPr>
            </w:pPr>
            <w:r w:rsidRPr="00E10E61">
              <w:rPr>
                <w:rFonts w:eastAsia="Cambria"/>
              </w:rPr>
              <w:t>Bradycardie</w:t>
            </w:r>
          </w:p>
        </w:tc>
        <w:tc>
          <w:tcPr>
            <w:tcW w:w="2127" w:type="dxa"/>
            <w:shd w:val="clear" w:color="auto" w:fill="auto"/>
          </w:tcPr>
          <w:p w14:paraId="42DDC814" w14:textId="77777777" w:rsidR="00020388" w:rsidRPr="00E10E61" w:rsidRDefault="00020388" w:rsidP="00046E58">
            <w:pPr>
              <w:pStyle w:val="AmmListePuces1"/>
              <w:numPr>
                <w:ilvl w:val="0"/>
                <w:numId w:val="0"/>
              </w:numPr>
              <w:rPr>
                <w:rFonts w:eastAsia="Cambria"/>
              </w:rPr>
            </w:pPr>
            <w:r w:rsidRPr="00E10E61">
              <w:rPr>
                <w:rFonts w:eastAsia="Cambria"/>
              </w:rPr>
              <w:t>Très fréquent</w:t>
            </w:r>
          </w:p>
        </w:tc>
      </w:tr>
      <w:tr w:rsidR="00020388" w:rsidRPr="00E10E61" w14:paraId="3E56865B" w14:textId="77777777" w:rsidTr="00046E58">
        <w:tc>
          <w:tcPr>
            <w:tcW w:w="3686" w:type="dxa"/>
            <w:vMerge/>
            <w:shd w:val="clear" w:color="auto" w:fill="auto"/>
          </w:tcPr>
          <w:p w14:paraId="3E0C6368" w14:textId="77777777" w:rsidR="00020388" w:rsidRPr="00E10E61" w:rsidRDefault="00020388" w:rsidP="00046E58">
            <w:pPr>
              <w:pStyle w:val="AmmListePuces1"/>
              <w:numPr>
                <w:ilvl w:val="0"/>
                <w:numId w:val="0"/>
              </w:numPr>
              <w:rPr>
                <w:rFonts w:eastAsia="Cambria"/>
              </w:rPr>
            </w:pPr>
          </w:p>
        </w:tc>
        <w:tc>
          <w:tcPr>
            <w:tcW w:w="3118" w:type="dxa"/>
            <w:shd w:val="clear" w:color="auto" w:fill="auto"/>
          </w:tcPr>
          <w:p w14:paraId="7C4E4F9D" w14:textId="77777777" w:rsidR="00020388" w:rsidRPr="00FC7429" w:rsidRDefault="00020388" w:rsidP="00046E58">
            <w:pPr>
              <w:pStyle w:val="AmmListePuces1"/>
              <w:numPr>
                <w:ilvl w:val="0"/>
                <w:numId w:val="0"/>
              </w:numPr>
              <w:rPr>
                <w:rFonts w:eastAsia="Cambria"/>
              </w:rPr>
            </w:pPr>
            <w:r>
              <w:rPr>
                <w:rFonts w:eastAsia="Cambria"/>
              </w:rPr>
              <w:t>Tachycardie</w:t>
            </w:r>
          </w:p>
        </w:tc>
        <w:tc>
          <w:tcPr>
            <w:tcW w:w="2127" w:type="dxa"/>
            <w:shd w:val="clear" w:color="auto" w:fill="auto"/>
          </w:tcPr>
          <w:p w14:paraId="63513B23" w14:textId="77777777" w:rsidR="00020388" w:rsidRPr="00FC7429" w:rsidRDefault="00020388" w:rsidP="00046E58">
            <w:pPr>
              <w:pStyle w:val="AmmListePuces1"/>
              <w:numPr>
                <w:ilvl w:val="0"/>
                <w:numId w:val="0"/>
              </w:numPr>
              <w:rPr>
                <w:rFonts w:eastAsia="Cambria"/>
              </w:rPr>
            </w:pPr>
            <w:r>
              <w:rPr>
                <w:rFonts w:eastAsia="Cambria"/>
              </w:rPr>
              <w:t>Très rare</w:t>
            </w:r>
          </w:p>
        </w:tc>
      </w:tr>
      <w:tr w:rsidR="00020388" w:rsidRPr="00E10E61" w14:paraId="7435A5B9" w14:textId="77777777" w:rsidTr="00046E58">
        <w:tc>
          <w:tcPr>
            <w:tcW w:w="3686" w:type="dxa"/>
            <w:vMerge/>
            <w:shd w:val="clear" w:color="auto" w:fill="auto"/>
          </w:tcPr>
          <w:p w14:paraId="186D2654" w14:textId="77777777" w:rsidR="00020388" w:rsidRPr="00E10E61" w:rsidRDefault="00020388" w:rsidP="00046E58">
            <w:pPr>
              <w:pStyle w:val="AmmListePuces1"/>
              <w:numPr>
                <w:ilvl w:val="0"/>
                <w:numId w:val="0"/>
              </w:numPr>
              <w:rPr>
                <w:rFonts w:eastAsia="Cambria"/>
              </w:rPr>
            </w:pPr>
          </w:p>
        </w:tc>
        <w:tc>
          <w:tcPr>
            <w:tcW w:w="3118" w:type="dxa"/>
            <w:shd w:val="clear" w:color="auto" w:fill="auto"/>
          </w:tcPr>
          <w:p w14:paraId="2E64331E" w14:textId="77777777" w:rsidR="00020388" w:rsidRPr="00FC7429" w:rsidRDefault="00020388" w:rsidP="00046E58">
            <w:pPr>
              <w:pStyle w:val="AmmListePuces1"/>
              <w:numPr>
                <w:ilvl w:val="0"/>
                <w:numId w:val="0"/>
              </w:numPr>
              <w:rPr>
                <w:rFonts w:eastAsia="Cambria"/>
              </w:rPr>
            </w:pPr>
            <w:r>
              <w:rPr>
                <w:rFonts w:eastAsia="Cambria"/>
              </w:rPr>
              <w:t>Hypotension</w:t>
            </w:r>
          </w:p>
        </w:tc>
        <w:tc>
          <w:tcPr>
            <w:tcW w:w="2127" w:type="dxa"/>
            <w:shd w:val="clear" w:color="auto" w:fill="auto"/>
          </w:tcPr>
          <w:p w14:paraId="5509CE21" w14:textId="77777777" w:rsidR="00020388" w:rsidRPr="00FC7429" w:rsidRDefault="00020388" w:rsidP="00046E58">
            <w:pPr>
              <w:pStyle w:val="AmmListePuces1"/>
              <w:numPr>
                <w:ilvl w:val="0"/>
                <w:numId w:val="0"/>
              </w:numPr>
              <w:rPr>
                <w:rFonts w:eastAsia="Cambria"/>
              </w:rPr>
            </w:pPr>
            <w:r>
              <w:rPr>
                <w:rFonts w:eastAsia="Cambria"/>
              </w:rPr>
              <w:t>Très rare</w:t>
            </w:r>
          </w:p>
        </w:tc>
      </w:tr>
      <w:tr w:rsidR="00020388" w:rsidRPr="00E10E61" w14:paraId="4DF24BE5" w14:textId="77777777" w:rsidTr="00046E58">
        <w:tc>
          <w:tcPr>
            <w:tcW w:w="3686" w:type="dxa"/>
            <w:vMerge/>
            <w:shd w:val="clear" w:color="auto" w:fill="auto"/>
          </w:tcPr>
          <w:p w14:paraId="49238CF6" w14:textId="77777777" w:rsidR="00020388" w:rsidRPr="00E10E61" w:rsidRDefault="00020388" w:rsidP="00046E58">
            <w:pPr>
              <w:pStyle w:val="AmmListePuces1"/>
              <w:numPr>
                <w:ilvl w:val="0"/>
                <w:numId w:val="0"/>
              </w:numPr>
              <w:rPr>
                <w:rFonts w:eastAsia="Cambria"/>
              </w:rPr>
            </w:pPr>
          </w:p>
        </w:tc>
        <w:tc>
          <w:tcPr>
            <w:tcW w:w="3118" w:type="dxa"/>
            <w:shd w:val="clear" w:color="auto" w:fill="auto"/>
          </w:tcPr>
          <w:p w14:paraId="73E3A2CA" w14:textId="77777777" w:rsidR="00020388" w:rsidRDefault="00020388" w:rsidP="00046E58">
            <w:pPr>
              <w:pStyle w:val="AmmListePuces1"/>
              <w:numPr>
                <w:ilvl w:val="0"/>
                <w:numId w:val="0"/>
              </w:numPr>
              <w:rPr>
                <w:rFonts w:eastAsia="Cambria"/>
              </w:rPr>
            </w:pPr>
            <w:r w:rsidRPr="00053FE2">
              <w:rPr>
                <w:rFonts w:eastAsia="Cambria"/>
              </w:rPr>
              <w:t xml:space="preserve">Bloc </w:t>
            </w:r>
            <w:proofErr w:type="spellStart"/>
            <w:r w:rsidRPr="00053FE2">
              <w:rPr>
                <w:rFonts w:eastAsia="Cambria"/>
              </w:rPr>
              <w:t>auriculo-venticulaire</w:t>
            </w:r>
            <w:proofErr w:type="spellEnd"/>
          </w:p>
        </w:tc>
        <w:tc>
          <w:tcPr>
            <w:tcW w:w="2127" w:type="dxa"/>
            <w:shd w:val="clear" w:color="auto" w:fill="auto"/>
          </w:tcPr>
          <w:p w14:paraId="7EE90F06" w14:textId="77777777" w:rsidR="00020388" w:rsidRDefault="00020388" w:rsidP="00046E58">
            <w:pPr>
              <w:pStyle w:val="AmmListePuces1"/>
              <w:numPr>
                <w:ilvl w:val="0"/>
                <w:numId w:val="0"/>
              </w:numPr>
              <w:rPr>
                <w:rFonts w:eastAsia="Cambria"/>
              </w:rPr>
            </w:pPr>
            <w:r w:rsidRPr="00053FE2">
              <w:rPr>
                <w:rFonts w:eastAsia="Cambria"/>
              </w:rPr>
              <w:t>Très rare</w:t>
            </w:r>
          </w:p>
        </w:tc>
      </w:tr>
      <w:tr w:rsidR="00020388" w:rsidRPr="00E10E61" w14:paraId="2C9A977E" w14:textId="77777777" w:rsidTr="00046E58">
        <w:tc>
          <w:tcPr>
            <w:tcW w:w="3686" w:type="dxa"/>
            <w:vMerge w:val="restart"/>
            <w:shd w:val="clear" w:color="auto" w:fill="auto"/>
          </w:tcPr>
          <w:p w14:paraId="63566DA0" w14:textId="77777777" w:rsidR="00020388" w:rsidRPr="00E10E61" w:rsidRDefault="00020388" w:rsidP="00046E58">
            <w:pPr>
              <w:pStyle w:val="AmmListePuces1"/>
              <w:numPr>
                <w:ilvl w:val="0"/>
                <w:numId w:val="0"/>
              </w:numPr>
              <w:rPr>
                <w:rFonts w:eastAsia="Cambria"/>
              </w:rPr>
            </w:pPr>
            <w:r w:rsidRPr="00E10E61">
              <w:rPr>
                <w:rFonts w:eastAsia="Cambria"/>
              </w:rPr>
              <w:t>Affections respiratoires, thoraciques et médiastinales</w:t>
            </w:r>
          </w:p>
        </w:tc>
        <w:tc>
          <w:tcPr>
            <w:tcW w:w="3118" w:type="dxa"/>
            <w:shd w:val="clear" w:color="auto" w:fill="auto"/>
          </w:tcPr>
          <w:p w14:paraId="05B88060" w14:textId="77777777" w:rsidR="00020388" w:rsidRPr="00E10E61" w:rsidRDefault="00020388" w:rsidP="00046E58">
            <w:pPr>
              <w:pStyle w:val="AmmListePuces1"/>
              <w:numPr>
                <w:ilvl w:val="0"/>
                <w:numId w:val="0"/>
              </w:numPr>
              <w:rPr>
                <w:rFonts w:eastAsia="Cambria"/>
              </w:rPr>
            </w:pPr>
            <w:r w:rsidRPr="00E10E61">
              <w:rPr>
                <w:rFonts w:eastAsia="Cambria"/>
              </w:rPr>
              <w:t>Dyspnée</w:t>
            </w:r>
          </w:p>
        </w:tc>
        <w:tc>
          <w:tcPr>
            <w:tcW w:w="2127" w:type="dxa"/>
            <w:shd w:val="clear" w:color="auto" w:fill="auto"/>
          </w:tcPr>
          <w:p w14:paraId="12218FE9" w14:textId="77777777" w:rsidR="00020388" w:rsidRPr="00E10E61" w:rsidRDefault="00020388" w:rsidP="00046E58">
            <w:pPr>
              <w:pStyle w:val="AmmListePuces1"/>
              <w:numPr>
                <w:ilvl w:val="0"/>
                <w:numId w:val="0"/>
              </w:numPr>
              <w:rPr>
                <w:rFonts w:eastAsia="Cambria"/>
              </w:rPr>
            </w:pPr>
            <w:r w:rsidRPr="00E10E61">
              <w:rPr>
                <w:rFonts w:eastAsia="Cambria"/>
              </w:rPr>
              <w:t>Très rare</w:t>
            </w:r>
          </w:p>
        </w:tc>
      </w:tr>
      <w:tr w:rsidR="00020388" w:rsidRPr="00E10E61" w14:paraId="09AFC473" w14:textId="77777777" w:rsidTr="00046E58">
        <w:tc>
          <w:tcPr>
            <w:tcW w:w="3686" w:type="dxa"/>
            <w:vMerge/>
            <w:shd w:val="clear" w:color="auto" w:fill="auto"/>
          </w:tcPr>
          <w:p w14:paraId="41B278F1" w14:textId="77777777" w:rsidR="00020388" w:rsidRPr="00E10E61" w:rsidRDefault="00020388" w:rsidP="00046E58">
            <w:pPr>
              <w:pStyle w:val="AmmListePuces1"/>
              <w:numPr>
                <w:ilvl w:val="0"/>
                <w:numId w:val="0"/>
              </w:numPr>
              <w:rPr>
                <w:rFonts w:eastAsia="Cambria"/>
              </w:rPr>
            </w:pPr>
          </w:p>
        </w:tc>
        <w:tc>
          <w:tcPr>
            <w:tcW w:w="3118" w:type="dxa"/>
            <w:shd w:val="clear" w:color="auto" w:fill="auto"/>
          </w:tcPr>
          <w:p w14:paraId="76D689EB" w14:textId="77777777" w:rsidR="00020388" w:rsidRPr="00E10E61" w:rsidRDefault="00020388" w:rsidP="00046E58">
            <w:pPr>
              <w:pStyle w:val="AmmListePuces1"/>
              <w:numPr>
                <w:ilvl w:val="0"/>
                <w:numId w:val="0"/>
              </w:numPr>
              <w:rPr>
                <w:rFonts w:eastAsia="Cambria"/>
              </w:rPr>
            </w:pPr>
            <w:r w:rsidRPr="00E10E61">
              <w:rPr>
                <w:rFonts w:eastAsia="Cambria"/>
              </w:rPr>
              <w:t>Hyperréactivité bronchique</w:t>
            </w:r>
          </w:p>
        </w:tc>
        <w:tc>
          <w:tcPr>
            <w:tcW w:w="2127" w:type="dxa"/>
            <w:shd w:val="clear" w:color="auto" w:fill="auto"/>
          </w:tcPr>
          <w:p w14:paraId="1F75EA71" w14:textId="77777777" w:rsidR="00020388" w:rsidRPr="00E10E61" w:rsidRDefault="00020388" w:rsidP="00046E58">
            <w:pPr>
              <w:pStyle w:val="AmmListePuces1"/>
              <w:numPr>
                <w:ilvl w:val="0"/>
                <w:numId w:val="0"/>
              </w:numPr>
              <w:rPr>
                <w:rFonts w:eastAsia="Cambria"/>
              </w:rPr>
            </w:pPr>
            <w:r w:rsidRPr="00E10E61">
              <w:rPr>
                <w:rFonts w:eastAsia="Cambria"/>
              </w:rPr>
              <w:t>Très rare</w:t>
            </w:r>
          </w:p>
        </w:tc>
      </w:tr>
      <w:tr w:rsidR="00020388" w:rsidRPr="00E10E61" w14:paraId="37F2551C" w14:textId="77777777" w:rsidTr="00046E58">
        <w:tc>
          <w:tcPr>
            <w:tcW w:w="3686" w:type="dxa"/>
            <w:vMerge w:val="restart"/>
            <w:shd w:val="clear" w:color="auto" w:fill="auto"/>
          </w:tcPr>
          <w:p w14:paraId="3710299F" w14:textId="77777777" w:rsidR="00020388" w:rsidRPr="00E10E61" w:rsidRDefault="00020388" w:rsidP="00046E58">
            <w:pPr>
              <w:pStyle w:val="AmmListePuces1"/>
              <w:numPr>
                <w:ilvl w:val="0"/>
                <w:numId w:val="0"/>
              </w:numPr>
              <w:rPr>
                <w:rFonts w:eastAsia="Cambria"/>
              </w:rPr>
            </w:pPr>
            <w:r w:rsidRPr="00E10E61">
              <w:rPr>
                <w:rFonts w:eastAsia="Cambria"/>
              </w:rPr>
              <w:t>Affections de la peau et du tissu sous-cutané</w:t>
            </w:r>
          </w:p>
        </w:tc>
        <w:tc>
          <w:tcPr>
            <w:tcW w:w="3118" w:type="dxa"/>
            <w:shd w:val="clear" w:color="auto" w:fill="auto"/>
          </w:tcPr>
          <w:p w14:paraId="02199B4C" w14:textId="77777777" w:rsidR="00020388" w:rsidRPr="00E10E61" w:rsidRDefault="00020388" w:rsidP="00046E58">
            <w:pPr>
              <w:pStyle w:val="AmmListePuces1"/>
              <w:numPr>
                <w:ilvl w:val="0"/>
                <w:numId w:val="0"/>
              </w:numPr>
              <w:rPr>
                <w:rFonts w:eastAsia="Cambria"/>
              </w:rPr>
            </w:pPr>
            <w:r w:rsidRPr="00E10E61">
              <w:rPr>
                <w:rFonts w:eastAsia="Cambria"/>
              </w:rPr>
              <w:t>Rash</w:t>
            </w:r>
          </w:p>
        </w:tc>
        <w:tc>
          <w:tcPr>
            <w:tcW w:w="2127" w:type="dxa"/>
            <w:shd w:val="clear" w:color="auto" w:fill="auto"/>
          </w:tcPr>
          <w:p w14:paraId="2B67609E" w14:textId="77777777" w:rsidR="00020388" w:rsidRPr="00E10E61" w:rsidRDefault="00020388" w:rsidP="00046E58">
            <w:pPr>
              <w:pStyle w:val="AmmListePuces1"/>
              <w:numPr>
                <w:ilvl w:val="0"/>
                <w:numId w:val="0"/>
              </w:numPr>
              <w:rPr>
                <w:rFonts w:eastAsia="Cambria"/>
              </w:rPr>
            </w:pPr>
            <w:r w:rsidRPr="00E10E61">
              <w:rPr>
                <w:rFonts w:eastAsia="Cambria"/>
              </w:rPr>
              <w:t>Très rare</w:t>
            </w:r>
          </w:p>
        </w:tc>
      </w:tr>
      <w:tr w:rsidR="00020388" w:rsidRPr="00E10E61" w14:paraId="435CB973" w14:textId="77777777" w:rsidTr="00046E58">
        <w:tc>
          <w:tcPr>
            <w:tcW w:w="3686" w:type="dxa"/>
            <w:vMerge/>
            <w:shd w:val="clear" w:color="auto" w:fill="auto"/>
          </w:tcPr>
          <w:p w14:paraId="66B7D721" w14:textId="77777777" w:rsidR="00020388" w:rsidRPr="00E10E61" w:rsidRDefault="00020388" w:rsidP="00046E58">
            <w:pPr>
              <w:pStyle w:val="AmmListePuces1"/>
              <w:numPr>
                <w:ilvl w:val="0"/>
                <w:numId w:val="0"/>
              </w:numPr>
              <w:rPr>
                <w:rFonts w:eastAsia="Cambria"/>
              </w:rPr>
            </w:pPr>
          </w:p>
        </w:tc>
        <w:tc>
          <w:tcPr>
            <w:tcW w:w="3118" w:type="dxa"/>
            <w:shd w:val="clear" w:color="auto" w:fill="auto"/>
          </w:tcPr>
          <w:p w14:paraId="35C50387" w14:textId="77777777" w:rsidR="00020388" w:rsidRPr="00E10E61" w:rsidRDefault="00020388" w:rsidP="00046E58">
            <w:pPr>
              <w:pStyle w:val="AmmListePuces1"/>
              <w:numPr>
                <w:ilvl w:val="0"/>
                <w:numId w:val="0"/>
              </w:numPr>
              <w:rPr>
                <w:rFonts w:eastAsia="Cambria"/>
              </w:rPr>
            </w:pPr>
            <w:r w:rsidRPr="00E10E61">
              <w:rPr>
                <w:rFonts w:eastAsia="Cambria"/>
              </w:rPr>
              <w:t>Erythème cutané</w:t>
            </w:r>
          </w:p>
        </w:tc>
        <w:tc>
          <w:tcPr>
            <w:tcW w:w="2127" w:type="dxa"/>
            <w:shd w:val="clear" w:color="auto" w:fill="auto"/>
          </w:tcPr>
          <w:p w14:paraId="62251327" w14:textId="77777777" w:rsidR="00020388" w:rsidRPr="00E10E61" w:rsidRDefault="00020388" w:rsidP="00046E58">
            <w:pPr>
              <w:pStyle w:val="AmmListePuces1"/>
              <w:numPr>
                <w:ilvl w:val="0"/>
                <w:numId w:val="0"/>
              </w:numPr>
              <w:rPr>
                <w:rFonts w:eastAsia="Cambria"/>
              </w:rPr>
            </w:pPr>
            <w:r w:rsidRPr="00E10E61">
              <w:rPr>
                <w:rFonts w:eastAsia="Cambria"/>
              </w:rPr>
              <w:t>Très rare</w:t>
            </w:r>
          </w:p>
        </w:tc>
      </w:tr>
      <w:tr w:rsidR="00020388" w:rsidRPr="00E10E61" w14:paraId="67C94E1B" w14:textId="77777777" w:rsidTr="00046E58">
        <w:tc>
          <w:tcPr>
            <w:tcW w:w="3686" w:type="dxa"/>
            <w:vMerge/>
            <w:shd w:val="clear" w:color="auto" w:fill="auto"/>
          </w:tcPr>
          <w:p w14:paraId="57435B66" w14:textId="77777777" w:rsidR="00020388" w:rsidRPr="00E10E61" w:rsidRDefault="00020388" w:rsidP="00046E58">
            <w:pPr>
              <w:pStyle w:val="AmmListePuces1"/>
              <w:numPr>
                <w:ilvl w:val="0"/>
                <w:numId w:val="0"/>
              </w:numPr>
              <w:rPr>
                <w:rFonts w:eastAsia="Cambria"/>
              </w:rPr>
            </w:pPr>
          </w:p>
        </w:tc>
        <w:tc>
          <w:tcPr>
            <w:tcW w:w="3118" w:type="dxa"/>
            <w:shd w:val="clear" w:color="auto" w:fill="auto"/>
          </w:tcPr>
          <w:p w14:paraId="4E16441A" w14:textId="77777777" w:rsidR="00020388" w:rsidRPr="00E10E61" w:rsidRDefault="00020388" w:rsidP="00046E58">
            <w:pPr>
              <w:pStyle w:val="AmmListePuces1"/>
              <w:numPr>
                <w:ilvl w:val="0"/>
                <w:numId w:val="0"/>
              </w:numPr>
              <w:rPr>
                <w:rFonts w:eastAsia="Cambria"/>
              </w:rPr>
            </w:pPr>
            <w:r w:rsidRPr="00E10E61">
              <w:rPr>
                <w:rFonts w:eastAsia="Cambria"/>
              </w:rPr>
              <w:t>Coloration des téguments</w:t>
            </w:r>
          </w:p>
        </w:tc>
        <w:tc>
          <w:tcPr>
            <w:tcW w:w="2127" w:type="dxa"/>
            <w:shd w:val="clear" w:color="auto" w:fill="auto"/>
          </w:tcPr>
          <w:p w14:paraId="473F7070" w14:textId="77777777" w:rsidR="00020388" w:rsidRPr="00E10E61" w:rsidRDefault="00020388" w:rsidP="00046E58">
            <w:pPr>
              <w:pStyle w:val="AmmListePuces1"/>
              <w:numPr>
                <w:ilvl w:val="0"/>
                <w:numId w:val="0"/>
              </w:numPr>
              <w:rPr>
                <w:rFonts w:eastAsia="Cambria"/>
              </w:rPr>
            </w:pPr>
            <w:r w:rsidRPr="00E10E61">
              <w:rPr>
                <w:rFonts w:eastAsia="Cambria"/>
              </w:rPr>
              <w:t>Très rare</w:t>
            </w:r>
          </w:p>
        </w:tc>
      </w:tr>
      <w:tr w:rsidR="00020388" w14:paraId="11335D25" w14:textId="77777777" w:rsidTr="00046E58">
        <w:tc>
          <w:tcPr>
            <w:tcW w:w="3686" w:type="dxa"/>
            <w:shd w:val="clear" w:color="auto" w:fill="auto"/>
          </w:tcPr>
          <w:p w14:paraId="30C63E59" w14:textId="77777777" w:rsidR="00020388" w:rsidRPr="00E10E61" w:rsidRDefault="00020388" w:rsidP="00046E58">
            <w:pPr>
              <w:pStyle w:val="AmmListePuces1"/>
              <w:numPr>
                <w:ilvl w:val="0"/>
                <w:numId w:val="0"/>
              </w:numPr>
              <w:rPr>
                <w:rFonts w:eastAsia="Cambria"/>
              </w:rPr>
            </w:pPr>
            <w:r w:rsidRPr="00E10E61">
              <w:rPr>
                <w:rFonts w:eastAsia="Cambria"/>
              </w:rPr>
              <w:t>Affections du système immunitaire</w:t>
            </w:r>
          </w:p>
        </w:tc>
        <w:tc>
          <w:tcPr>
            <w:tcW w:w="3118" w:type="dxa"/>
            <w:shd w:val="clear" w:color="auto" w:fill="auto"/>
          </w:tcPr>
          <w:p w14:paraId="40529C52" w14:textId="77777777" w:rsidR="00020388" w:rsidRPr="00E10E61" w:rsidRDefault="00020388" w:rsidP="00046E58">
            <w:pPr>
              <w:pStyle w:val="AmmListePuces1"/>
              <w:numPr>
                <w:ilvl w:val="0"/>
                <w:numId w:val="0"/>
              </w:numPr>
              <w:rPr>
                <w:rFonts w:eastAsia="Cambria"/>
              </w:rPr>
            </w:pPr>
            <w:r w:rsidRPr="00E10E61">
              <w:rPr>
                <w:rFonts w:eastAsia="Cambria"/>
              </w:rPr>
              <w:t>Réaction anaphylactoïde</w:t>
            </w:r>
          </w:p>
        </w:tc>
        <w:tc>
          <w:tcPr>
            <w:tcW w:w="2127" w:type="dxa"/>
            <w:shd w:val="clear" w:color="auto" w:fill="auto"/>
          </w:tcPr>
          <w:p w14:paraId="3C43D446" w14:textId="77777777" w:rsidR="00020388" w:rsidRPr="00FE6A45" w:rsidRDefault="00020388" w:rsidP="00046E58">
            <w:pPr>
              <w:pStyle w:val="AmmListePuces1"/>
              <w:numPr>
                <w:ilvl w:val="0"/>
                <w:numId w:val="0"/>
              </w:numPr>
              <w:rPr>
                <w:rFonts w:eastAsia="Cambria"/>
              </w:rPr>
            </w:pPr>
            <w:r w:rsidRPr="00E10E61">
              <w:rPr>
                <w:rFonts w:eastAsia="Cambria"/>
              </w:rPr>
              <w:t>Très rare</w:t>
            </w:r>
          </w:p>
        </w:tc>
      </w:tr>
    </w:tbl>
    <w:p w14:paraId="7A891480" w14:textId="77777777" w:rsidR="00020388" w:rsidRDefault="00020388" w:rsidP="00020388">
      <w:pPr>
        <w:pStyle w:val="AmmAnnexeTitre3"/>
        <w:spacing w:before="240"/>
      </w:pPr>
      <w:r>
        <w:t xml:space="preserve">Déclaration des effets indésirables suspectés </w:t>
      </w:r>
    </w:p>
    <w:p w14:paraId="77E47E50" w14:textId="77777777" w:rsidR="00020388" w:rsidRPr="00315FC9" w:rsidRDefault="00020388" w:rsidP="00020388">
      <w:pPr>
        <w:pStyle w:val="AmmCorpsTexte"/>
        <w:rPr>
          <w:rFonts w:eastAsia="Calibri"/>
        </w:rPr>
      </w:pPr>
      <w:r>
        <w:t xml:space="preserve">La déclaration des effets indésirables suspectés après autorisation du médicament est importante. Elle permet une surveillance continue du rapport bénéfice/risque du médicament. Les professionnels de santé déclarent tout effet indésirable suspecté via le système national de déclaration : </w:t>
      </w:r>
      <w:r w:rsidRPr="00BB06F8">
        <w:rPr>
          <w:rFonts w:eastAsia="Calibri"/>
          <w:noProof/>
          <w:lang w:eastAsia="zh-CN"/>
        </w:rPr>
        <w:t>Agence nationale de sécurité du médicament et des produits de santé (ANSM)</w:t>
      </w:r>
      <w:r>
        <w:rPr>
          <w:rFonts w:eastAsia="Calibri"/>
          <w:noProof/>
          <w:lang w:eastAsia="zh-CN"/>
        </w:rPr>
        <w:t xml:space="preserve"> </w:t>
      </w:r>
      <w:r w:rsidRPr="00BB06F8">
        <w:rPr>
          <w:rFonts w:eastAsia="Calibri"/>
          <w:noProof/>
          <w:lang w:eastAsia="zh-CN"/>
        </w:rPr>
        <w:t xml:space="preserve">et réseau des Centres Régionaux de Pharmacovigilance </w:t>
      </w:r>
      <w:r>
        <w:rPr>
          <w:rFonts w:eastAsia="Calibri"/>
          <w:noProof/>
          <w:lang w:eastAsia="zh-CN"/>
        </w:rPr>
        <w:t xml:space="preserve">- </w:t>
      </w:r>
      <w:r w:rsidRPr="00C25997">
        <w:rPr>
          <w:rFonts w:eastAsia="Calibri"/>
          <w:lang w:eastAsia="zh-CN"/>
        </w:rPr>
        <w:t>Site internet</w:t>
      </w:r>
      <w:r>
        <w:rPr>
          <w:rFonts w:eastAsia="Calibri"/>
          <w:lang w:eastAsia="zh-CN"/>
        </w:rPr>
        <w:t xml:space="preserve"> </w:t>
      </w:r>
      <w:r w:rsidRPr="00C25997">
        <w:rPr>
          <w:rFonts w:eastAsia="Calibri"/>
          <w:noProof/>
          <w:lang w:eastAsia="zh-CN"/>
        </w:rPr>
        <w:t>:</w:t>
      </w:r>
      <w:r w:rsidRPr="00115276">
        <w:rPr>
          <w:rFonts w:eastAsia="Calibri"/>
          <w:noProof/>
          <w:color w:val="FF0000"/>
          <w:lang w:eastAsia="zh-CN"/>
        </w:rPr>
        <w:t xml:space="preserve"> </w:t>
      </w:r>
      <w:hyperlink r:id="rId5" w:history="1">
        <w:r w:rsidRPr="004428E0">
          <w:rPr>
            <w:rStyle w:val="Lienhypertexte"/>
            <w:rFonts w:cs="Arial"/>
          </w:rPr>
          <w:t>https://signalement.social-sante.gouv.fr</w:t>
        </w:r>
      </w:hyperlink>
      <w:r>
        <w:rPr>
          <w:rFonts w:cs="Arial"/>
        </w:rPr>
        <w:t xml:space="preserve"> </w:t>
      </w:r>
    </w:p>
    <w:p w14:paraId="13CEC12B" w14:textId="77777777" w:rsidR="00020388" w:rsidRDefault="00020388" w:rsidP="00020388">
      <w:pPr>
        <w:pStyle w:val="AmmAnnexeTitre2"/>
      </w:pPr>
      <w:bookmarkStart w:id="15" w:name="_Toc142278930"/>
      <w:r>
        <w:t>4.9.</w:t>
      </w:r>
      <w:r>
        <w:tab/>
        <w:t>Surdosage</w:t>
      </w:r>
      <w:bookmarkEnd w:id="15"/>
    </w:p>
    <w:p w14:paraId="7DD55D11" w14:textId="77777777" w:rsidR="00020388" w:rsidRDefault="00020388" w:rsidP="00020388">
      <w:pPr>
        <w:pStyle w:val="AmmCorpsTexte"/>
      </w:pPr>
      <w:r>
        <w:t>Aucun cas de surdosage n’a été rapporté dans la littérature pour des doses allant jusqu’à 80 mg de carmin d’indigo administré par voie intraveineuse.</w:t>
      </w:r>
    </w:p>
    <w:p w14:paraId="7D605C31" w14:textId="77777777" w:rsidR="00020388" w:rsidRDefault="00020388" w:rsidP="00020388">
      <w:pPr>
        <w:pStyle w:val="AmmCorpsTexteGras"/>
      </w:pPr>
      <w:r>
        <w:t>Symptômes</w:t>
      </w:r>
    </w:p>
    <w:p w14:paraId="74BDD04A" w14:textId="77777777" w:rsidR="00020388" w:rsidRDefault="00020388" w:rsidP="00020388">
      <w:pPr>
        <w:pStyle w:val="AmmCorpsTexte"/>
      </w:pPr>
      <w:r>
        <w:t>Un surdosage pourrait provoquer une crise hypertensive et une bradycardie sévère.</w:t>
      </w:r>
    </w:p>
    <w:p w14:paraId="30EC96E7" w14:textId="77777777" w:rsidR="00020388" w:rsidRDefault="00020388" w:rsidP="00020388">
      <w:pPr>
        <w:pStyle w:val="AmmCorpsTexteGras"/>
      </w:pPr>
      <w:r>
        <w:t>Traitement</w:t>
      </w:r>
    </w:p>
    <w:p w14:paraId="7F65E4AB" w14:textId="77777777" w:rsidR="00020388" w:rsidRDefault="00020388" w:rsidP="00020388">
      <w:pPr>
        <w:pStyle w:val="AmmCorpsTexte"/>
      </w:pPr>
      <w:r>
        <w:t>En cas de surdosage, un traitement par vasodilatateur périphérique peut être envisagé.</w:t>
      </w:r>
    </w:p>
    <w:p w14:paraId="030282A4" w14:textId="77777777" w:rsidR="00020388" w:rsidRDefault="00020388" w:rsidP="00020388">
      <w:pPr>
        <w:pStyle w:val="AmmAnnexeTitre1"/>
        <w:rPr>
          <w:caps w:val="0"/>
        </w:rPr>
      </w:pPr>
      <w:bookmarkStart w:id="16" w:name="_Toc142278931"/>
      <w:r>
        <w:rPr>
          <w:caps w:val="0"/>
        </w:rPr>
        <w:t>5.</w:t>
      </w:r>
      <w:r>
        <w:rPr>
          <w:caps w:val="0"/>
        </w:rPr>
        <w:tab/>
        <w:t>PROPRIETES PHARMACOLOGIQUES</w:t>
      </w:r>
      <w:bookmarkEnd w:id="16"/>
    </w:p>
    <w:p w14:paraId="125A6D47" w14:textId="77777777" w:rsidR="00020388" w:rsidRDefault="00020388" w:rsidP="00020388">
      <w:pPr>
        <w:pStyle w:val="AmmAnnexeTitre2"/>
      </w:pPr>
      <w:bookmarkStart w:id="17" w:name="_Toc142278932"/>
      <w:r>
        <w:t>5.1.</w:t>
      </w:r>
      <w:r>
        <w:tab/>
        <w:t>Propriétés pharmacodynamiques</w:t>
      </w:r>
      <w:bookmarkEnd w:id="17"/>
    </w:p>
    <w:p w14:paraId="321EE9E7" w14:textId="77777777" w:rsidR="00020388" w:rsidRDefault="00020388" w:rsidP="00020388">
      <w:pPr>
        <w:pStyle w:val="AmmCorpsTexteGras"/>
        <w:rPr>
          <w:sz w:val="16"/>
          <w:szCs w:val="16"/>
        </w:rPr>
      </w:pPr>
      <w:bookmarkStart w:id="18" w:name="_Toc142278933"/>
      <w:r>
        <w:t>Classe pharmacothérapeutique : agent de diagnostic, code ATC : V04CH02</w:t>
      </w:r>
      <w:r>
        <w:rPr>
          <w:sz w:val="16"/>
          <w:szCs w:val="16"/>
        </w:rPr>
        <w:t>.</w:t>
      </w:r>
    </w:p>
    <w:p w14:paraId="67001ABB" w14:textId="77777777" w:rsidR="00020388" w:rsidRDefault="00020388" w:rsidP="00020388">
      <w:pPr>
        <w:pStyle w:val="AmmCorpsTexte"/>
      </w:pPr>
      <w:r>
        <w:t xml:space="preserve">Le carmin d’indigo est un médicament colorant utilisé en clinique à visée diagnostique. Lorsqu’il est administré par voie intraveineuse, il provoque une coloration bleu foncé des urines dans un délai de 4 </w:t>
      </w:r>
      <w:r>
        <w:lastRenderedPageBreak/>
        <w:t>à 9 minutes suivant l’injection. Cette coloration intense permet de détecter d’éventuelles lésions du tractus urinaire.</w:t>
      </w:r>
    </w:p>
    <w:p w14:paraId="0A0E73A5" w14:textId="77777777" w:rsidR="00020388" w:rsidRDefault="00020388" w:rsidP="00020388">
      <w:pPr>
        <w:pStyle w:val="AmmCorpsTexte"/>
      </w:pPr>
      <w:r w:rsidRPr="00051846">
        <w:t>Le carmin d’indigo, de par ses propriétés alpha-adrénergiques, déclenche une augmentation des résistances vasculaires périphériques, entraînant une augmentation modérée et transitoire de la pression artérielle ainsi qu’une baisse modérée, et probablement réactionnelle, de la fréquence cardiaque.</w:t>
      </w:r>
    </w:p>
    <w:p w14:paraId="67773025" w14:textId="77777777" w:rsidR="00020388" w:rsidRDefault="00020388" w:rsidP="00020388">
      <w:pPr>
        <w:pStyle w:val="AmmCorpsTexte"/>
      </w:pPr>
      <w:bookmarkStart w:id="19" w:name="_Hlk54187010"/>
      <w:r>
        <w:t>Une méta-analyse d’études publiées a permis d'évaluer les performances diagnostiques du carmin d’indigo dans la détection des lésions urétérales au cours de la chirurgie abdomino-pelvienne. Cette méta-analyse a montré que la sensibilité et la spécificité du test à l’indigo carmin étaient élevées (respectivement 89,2% et 99,7%), de même que son impact sur le processus diagnostique (valeur prédictive positive de 86,7% et valeur prédictive négative de 99,7% dans une population avec une incidence de lésions urétérales de 2,3%).</w:t>
      </w:r>
    </w:p>
    <w:p w14:paraId="627EE5EA" w14:textId="77777777" w:rsidR="00020388" w:rsidRDefault="00020388" w:rsidP="00020388">
      <w:pPr>
        <w:pStyle w:val="AmmCorpsTexte"/>
      </w:pPr>
      <w:r>
        <w:t>Les rapports de vraisemblance obtenus permettent également de confirmer que le test diagnostique au carmin d’indigo est utile pour confirmer aussi bien la présence (rapport de vraisemblance positif de 285) que l’absence (rapport de vraisemblance négatif de 0,111) d’une complication urétérale au cours d’une chirurgie abdomino-pelvienne.</w:t>
      </w:r>
    </w:p>
    <w:bookmarkEnd w:id="19"/>
    <w:p w14:paraId="3947201E" w14:textId="77777777" w:rsidR="00020388" w:rsidRDefault="00020388" w:rsidP="00020388">
      <w:pPr>
        <w:pStyle w:val="AmmCorpsTexte"/>
      </w:pPr>
      <w:r>
        <w:t xml:space="preserve">La sécurité et l’efficacité du carmin d’indigo ont également été évaluées dans le cadre d’une étude intra-patient randomisée, multicentrique, contrôlée, à dose aveugle de Carmin d’indigo </w:t>
      </w:r>
      <w:proofErr w:type="spellStart"/>
      <w:r>
        <w:t>Provingo</w:t>
      </w:r>
      <w:proofErr w:type="spellEnd"/>
      <w:r>
        <w:t>, chez 118 patients adultes subissant des interventions chirurgicales urologiques ou gynécologiques.</w:t>
      </w:r>
    </w:p>
    <w:p w14:paraId="78A7FE21" w14:textId="77777777" w:rsidR="00020388" w:rsidRDefault="00020388" w:rsidP="00020388">
      <w:pPr>
        <w:pStyle w:val="AmmCorpsTexte"/>
      </w:pPr>
      <w:r>
        <w:t>Les patients ont été randomisés dans un rapport 1:1 pour recevoir 2,5 ml ou 5 ml de carmin d’indigo par voie intraveineuse avant la fin de la procédure chirurgicale. Chaque patient a subi une cystoscopie et a reçu 5 ml d’injection de chlorure de sodium à 0,9 % suivie de la dose de carmin d’indigo randomisée pour la visualisation du flux urinaire à partir des orifices urétéraux. La dose de 2,5 ml n'est pas approuvée (voir section 4.2).</w:t>
      </w:r>
    </w:p>
    <w:p w14:paraId="5FCD3305" w14:textId="77777777" w:rsidR="00020388" w:rsidRDefault="00020388" w:rsidP="00020388">
      <w:pPr>
        <w:pStyle w:val="AmmCorpsTexte"/>
      </w:pPr>
      <w:r>
        <w:t xml:space="preserve">La visualisation de l’écoulement urinaire a montré des résultats significativement meilleurs après l’injection du carmin d’indigo (à des doses de 5 </w:t>
      </w:r>
      <w:proofErr w:type="spellStart"/>
      <w:r>
        <w:t>mL</w:t>
      </w:r>
      <w:proofErr w:type="spellEnd"/>
      <w:r>
        <w:t xml:space="preserve"> et/ou 2,5 </w:t>
      </w:r>
      <w:proofErr w:type="spellStart"/>
      <w:r>
        <w:t>mL</w:t>
      </w:r>
      <w:proofErr w:type="spellEnd"/>
      <w:r>
        <w:t>) qu'après l'injection de solution saline.</w:t>
      </w:r>
    </w:p>
    <w:p w14:paraId="5E2B2A8B" w14:textId="77777777" w:rsidR="00020388" w:rsidRPr="00B62BC3" w:rsidRDefault="00020388" w:rsidP="00020388">
      <w:pPr>
        <w:pStyle w:val="AmmAnnexeTitre2"/>
      </w:pPr>
      <w:r w:rsidRPr="00B62BC3">
        <w:t>5.2.</w:t>
      </w:r>
      <w:r w:rsidRPr="00B62BC3">
        <w:tab/>
        <w:t>Propriétés pharmacocinétiques</w:t>
      </w:r>
      <w:bookmarkEnd w:id="18"/>
    </w:p>
    <w:p w14:paraId="390C0DA2" w14:textId="77777777" w:rsidR="00020388" w:rsidRDefault="00020388" w:rsidP="00020388">
      <w:pPr>
        <w:pStyle w:val="AmmCorpsTexte"/>
      </w:pPr>
      <w:bookmarkStart w:id="20" w:name="_Toc142278934"/>
      <w:r>
        <w:t>Le carmin d’indigo est en grande partie lié aux protéines plasmatiques. Il est rapidement éliminé du compartiment plasmatique et il est facilement et largement éliminé par le rein. Une faible partie est excrétée dans la bile.</w:t>
      </w:r>
    </w:p>
    <w:p w14:paraId="1E73D25A" w14:textId="77777777" w:rsidR="00020388" w:rsidRDefault="00020388" w:rsidP="00020388">
      <w:pPr>
        <w:pStyle w:val="AmmCorpsTexte"/>
      </w:pPr>
      <w:r w:rsidRPr="00051846">
        <w:t xml:space="preserve">Le profil pharmacocinétique du carmin d’indigo a été évalué dans le cadre d’une étude pharmacocinétique réalisée sur des volontaires sains ; dans cette étude, la demi-vie plasmatique du carmin d’indigo était de 12 minutes. </w:t>
      </w:r>
    </w:p>
    <w:p w14:paraId="5C5979A5" w14:textId="77777777" w:rsidR="00020388" w:rsidRDefault="00020388" w:rsidP="00020388">
      <w:pPr>
        <w:pStyle w:val="AmmCorpsTexte"/>
      </w:pPr>
      <w:r>
        <w:t xml:space="preserve">En cas d’altération de la fonction rénale, le délai moyen d’excrétion peut être prolongé de plusieurs minutes. </w:t>
      </w:r>
    </w:p>
    <w:p w14:paraId="6F9C9C8F" w14:textId="77777777" w:rsidR="00020388" w:rsidRDefault="00020388" w:rsidP="00020388">
      <w:pPr>
        <w:pStyle w:val="AmmAnnexeTitre2"/>
      </w:pPr>
      <w:r>
        <w:t>5.3.</w:t>
      </w:r>
      <w:r>
        <w:tab/>
        <w:t>Données de sécurité préclinique</w:t>
      </w:r>
      <w:bookmarkEnd w:id="20"/>
    </w:p>
    <w:p w14:paraId="662F102F" w14:textId="77777777" w:rsidR="00020388" w:rsidRPr="00391C33" w:rsidRDefault="00020388" w:rsidP="00020388">
      <w:pPr>
        <w:pStyle w:val="AmmCorpsTexte"/>
        <w:rPr>
          <w:szCs w:val="18"/>
        </w:rPr>
      </w:pPr>
      <w:bookmarkStart w:id="21" w:name="_Toc142278935"/>
      <w:r w:rsidRPr="00391C33">
        <w:rPr>
          <w:szCs w:val="18"/>
        </w:rPr>
        <w:t>Des données de toxicité aig</w:t>
      </w:r>
      <w:r>
        <w:rPr>
          <w:szCs w:val="18"/>
        </w:rPr>
        <w:t>uë</w:t>
      </w:r>
      <w:r w:rsidRPr="00391C33">
        <w:rPr>
          <w:szCs w:val="18"/>
        </w:rPr>
        <w:t xml:space="preserve"> sont disponibles chez le rat et la souris avec </w:t>
      </w:r>
      <w:r>
        <w:rPr>
          <w:szCs w:val="18"/>
        </w:rPr>
        <w:t xml:space="preserve">le </w:t>
      </w:r>
      <w:r w:rsidRPr="00391C33">
        <w:rPr>
          <w:szCs w:val="18"/>
        </w:rPr>
        <w:t>carmin d’indigo. Chez le rat, La DL50 (dose unique létale moyenne) est de 93 mg/kg par voie intraveineuse alors que chez la souris la DL50 est de 405 mg/kg par voie sous-cutanée.</w:t>
      </w:r>
    </w:p>
    <w:p w14:paraId="368CCD31" w14:textId="77777777" w:rsidR="00020388" w:rsidRPr="00391C33" w:rsidRDefault="00020388" w:rsidP="00020388">
      <w:pPr>
        <w:pStyle w:val="AmmCorpsTexte"/>
        <w:rPr>
          <w:szCs w:val="18"/>
        </w:rPr>
      </w:pPr>
      <w:r w:rsidRPr="00391C33">
        <w:rPr>
          <w:szCs w:val="18"/>
        </w:rPr>
        <w:t xml:space="preserve">Aucune étude de carcinogénicité par voie intraveineuse n’a été réalisée avec </w:t>
      </w:r>
      <w:r>
        <w:rPr>
          <w:szCs w:val="18"/>
        </w:rPr>
        <w:t xml:space="preserve">le </w:t>
      </w:r>
      <w:r w:rsidRPr="00391C33">
        <w:rPr>
          <w:szCs w:val="18"/>
        </w:rPr>
        <w:t>carmin d’indigo. Cependant, des études à long terme chez le rat (voie orale) et chez la souris (voie sous-cutanée) n’ont pas mis en évidence d’effet carcinogène.</w:t>
      </w:r>
    </w:p>
    <w:p w14:paraId="52A89CC7" w14:textId="77777777" w:rsidR="00020388" w:rsidRDefault="00020388" w:rsidP="00020388">
      <w:pPr>
        <w:pStyle w:val="AmmCorpsTexte"/>
        <w:rPr>
          <w:szCs w:val="18"/>
        </w:rPr>
      </w:pPr>
      <w:r w:rsidRPr="00391C33">
        <w:rPr>
          <w:szCs w:val="18"/>
        </w:rPr>
        <w:t>Les études menées chez le rat et le lapin par voie orale n’ont pas mis en évidence d’effet tératogène pour des doses d’indigotine (carmin d’indigo) allant jusqu’à 250 mg/kg/jour. Cependant, la biodisponibilité orale est d’environ 3%</w:t>
      </w:r>
      <w:r>
        <w:rPr>
          <w:szCs w:val="18"/>
        </w:rPr>
        <w:t xml:space="preserve">, </w:t>
      </w:r>
      <w:r w:rsidRPr="00391C33">
        <w:rPr>
          <w:szCs w:val="18"/>
        </w:rPr>
        <w:t>de sorte que le risque d'administration intraveineuse d</w:t>
      </w:r>
      <w:r>
        <w:rPr>
          <w:szCs w:val="18"/>
        </w:rPr>
        <w:t>u</w:t>
      </w:r>
      <w:r w:rsidRPr="00391C33">
        <w:rPr>
          <w:szCs w:val="18"/>
        </w:rPr>
        <w:t xml:space="preserve"> carmin d'indigo pendant la grossesse ne peut être évalué à partir </w:t>
      </w:r>
      <w:r>
        <w:rPr>
          <w:szCs w:val="18"/>
        </w:rPr>
        <w:t xml:space="preserve">de ces </w:t>
      </w:r>
      <w:r w:rsidRPr="006B394A">
        <w:rPr>
          <w:szCs w:val="18"/>
        </w:rPr>
        <w:t>données</w:t>
      </w:r>
      <w:r w:rsidRPr="00391C33">
        <w:rPr>
          <w:szCs w:val="18"/>
        </w:rPr>
        <w:t xml:space="preserve"> disponibles.</w:t>
      </w:r>
    </w:p>
    <w:p w14:paraId="29935F2D" w14:textId="77777777" w:rsidR="00020388" w:rsidRDefault="00020388" w:rsidP="00020388">
      <w:pPr>
        <w:pStyle w:val="AmmAnnexeTitre1"/>
        <w:rPr>
          <w:caps w:val="0"/>
        </w:rPr>
      </w:pPr>
      <w:r>
        <w:rPr>
          <w:caps w:val="0"/>
        </w:rPr>
        <w:t>6.</w:t>
      </w:r>
      <w:r>
        <w:rPr>
          <w:caps w:val="0"/>
        </w:rPr>
        <w:tab/>
        <w:t>DONNEES PHARMACEUTIQUES</w:t>
      </w:r>
      <w:bookmarkEnd w:id="21"/>
    </w:p>
    <w:p w14:paraId="15B715DF" w14:textId="77777777" w:rsidR="00020388" w:rsidRDefault="00020388" w:rsidP="00020388">
      <w:pPr>
        <w:pStyle w:val="AmmAnnexeTitre2"/>
      </w:pPr>
      <w:bookmarkStart w:id="22" w:name="_Toc142278936"/>
      <w:r>
        <w:t>6.1.</w:t>
      </w:r>
      <w:r>
        <w:tab/>
        <w:t>Liste des excipient</w:t>
      </w:r>
      <w:bookmarkEnd w:id="22"/>
      <w:r>
        <w:t>s</w:t>
      </w:r>
    </w:p>
    <w:p w14:paraId="2BCEBB4B" w14:textId="77777777" w:rsidR="00020388" w:rsidRDefault="00020388" w:rsidP="00020388">
      <w:pPr>
        <w:pStyle w:val="AmmCorpsTexte"/>
      </w:pPr>
      <w:bookmarkStart w:id="23" w:name="_Toc142278937"/>
      <w:r>
        <w:t>Eau pour préparation injectable.</w:t>
      </w:r>
    </w:p>
    <w:p w14:paraId="34F3F753" w14:textId="77777777" w:rsidR="00020388" w:rsidRDefault="00020388" w:rsidP="00020388">
      <w:pPr>
        <w:pStyle w:val="AmmCorpsTexte"/>
      </w:pPr>
      <w:r>
        <w:lastRenderedPageBreak/>
        <w:t>Acide citrique monohydraté (pour ajustement du pH).</w:t>
      </w:r>
    </w:p>
    <w:p w14:paraId="0E640525" w14:textId="77777777" w:rsidR="00020388" w:rsidRDefault="00020388" w:rsidP="00020388">
      <w:pPr>
        <w:pStyle w:val="AmmCorpsTexte"/>
      </w:pPr>
      <w:r>
        <w:t>Citrate de sodium (pour ajustement du pH).</w:t>
      </w:r>
    </w:p>
    <w:p w14:paraId="2E2615B0" w14:textId="77777777" w:rsidR="00020388" w:rsidRDefault="00020388" w:rsidP="00020388">
      <w:pPr>
        <w:pStyle w:val="AmmAnnexeTitre2"/>
      </w:pPr>
      <w:r>
        <w:t>6.2.</w:t>
      </w:r>
      <w:r>
        <w:tab/>
        <w:t>Incompatibilités</w:t>
      </w:r>
      <w:bookmarkEnd w:id="23"/>
    </w:p>
    <w:p w14:paraId="061AD217" w14:textId="77777777" w:rsidR="00020388" w:rsidRDefault="00020388" w:rsidP="00020388">
      <w:pPr>
        <w:pStyle w:val="AmmCorpsTexte"/>
      </w:pPr>
      <w:bookmarkStart w:id="24" w:name="_Toc142278938"/>
      <w:r>
        <w:t>En l’absence d’études de compatibilité, ce médicament ne doit pas être mélangé avec d’autres médicaments.</w:t>
      </w:r>
    </w:p>
    <w:p w14:paraId="4DFA64F7" w14:textId="77777777" w:rsidR="00020388" w:rsidRDefault="00020388" w:rsidP="00020388">
      <w:pPr>
        <w:pStyle w:val="AmmAnnexeTitre2"/>
      </w:pPr>
      <w:r>
        <w:t>6.3.</w:t>
      </w:r>
      <w:r>
        <w:tab/>
        <w:t>Durée de conservation</w:t>
      </w:r>
      <w:bookmarkEnd w:id="24"/>
    </w:p>
    <w:p w14:paraId="1A0042CE" w14:textId="77777777" w:rsidR="00020388" w:rsidRDefault="00020388" w:rsidP="00020388">
      <w:pPr>
        <w:pStyle w:val="AmmCorpsTexte"/>
      </w:pPr>
      <w:r>
        <w:t>3 ans</w:t>
      </w:r>
    </w:p>
    <w:p w14:paraId="170FA1F8" w14:textId="77777777" w:rsidR="00020388" w:rsidRDefault="00020388" w:rsidP="00020388">
      <w:pPr>
        <w:pStyle w:val="AmmCorpsTexte"/>
      </w:pPr>
      <w:r>
        <w:t>Après ouverture : D’un point de vue microbiologique, à moins que la méthode d’ouverture écarte le risque de contamination microbienne, le produit doit être utilisé immédiatement. Si tel n’est pas le cas, les durées et conditions d’utilisation relèvent de la responsabilité de l’utilisateur.</w:t>
      </w:r>
    </w:p>
    <w:p w14:paraId="4DC5655C" w14:textId="77777777" w:rsidR="00020388" w:rsidRDefault="00020388" w:rsidP="00020388">
      <w:pPr>
        <w:pStyle w:val="AmmAnnexeTitre2"/>
      </w:pPr>
      <w:bookmarkStart w:id="25" w:name="_Toc142278939"/>
      <w:r>
        <w:t>6.4.</w:t>
      </w:r>
      <w:r>
        <w:tab/>
        <w:t>Précautions particulières de conservation</w:t>
      </w:r>
      <w:bookmarkEnd w:id="25"/>
    </w:p>
    <w:p w14:paraId="28CE5217" w14:textId="77777777" w:rsidR="00020388" w:rsidRDefault="00020388" w:rsidP="00020388">
      <w:pPr>
        <w:pStyle w:val="AmmCorpsTexte"/>
        <w:rPr>
          <w:lang w:val="fr-BE"/>
        </w:rPr>
      </w:pPr>
      <w:bookmarkStart w:id="26" w:name="_Toc142278940"/>
      <w:r w:rsidRPr="006035BB">
        <w:rPr>
          <w:lang w:val="fr-BE"/>
        </w:rPr>
        <w:t>Ne pas mettre au réfrigérateur. Ne pas congeler.</w:t>
      </w:r>
    </w:p>
    <w:p w14:paraId="0E3003C4" w14:textId="77777777" w:rsidR="00020388" w:rsidRDefault="00020388" w:rsidP="00020388">
      <w:pPr>
        <w:pStyle w:val="AmmAnnexeTitre2"/>
      </w:pPr>
      <w:r>
        <w:t>6.5.</w:t>
      </w:r>
      <w:r>
        <w:tab/>
        <w:t>Nature et contenu de l'emballage extérieur</w:t>
      </w:r>
      <w:bookmarkEnd w:id="26"/>
      <w:r>
        <w:t xml:space="preserve"> </w:t>
      </w:r>
    </w:p>
    <w:p w14:paraId="630D2DA6" w14:textId="77777777" w:rsidR="00020388" w:rsidRDefault="00020388" w:rsidP="00020388">
      <w:pPr>
        <w:pStyle w:val="AmmCorpsTexte"/>
      </w:pPr>
      <w:r>
        <w:t>Ampoules de 5 ml en verre brun de type I. Boîte de 5 ampoules.</w:t>
      </w:r>
    </w:p>
    <w:p w14:paraId="0B9D2308" w14:textId="77777777" w:rsidR="00020388" w:rsidRPr="00707325" w:rsidRDefault="00020388" w:rsidP="00020388">
      <w:pPr>
        <w:pStyle w:val="AmmAnnexeTitre2"/>
      </w:pPr>
      <w:bookmarkStart w:id="27" w:name="_Toc142278941"/>
      <w:bookmarkStart w:id="28" w:name="_Toc142278942"/>
      <w:r w:rsidRPr="00707325">
        <w:t>6.6.</w:t>
      </w:r>
      <w:r w:rsidRPr="00707325">
        <w:tab/>
        <w:t>Précautions particulières d’élimination et de manipulation</w:t>
      </w:r>
      <w:bookmarkEnd w:id="27"/>
    </w:p>
    <w:p w14:paraId="2655A8B3" w14:textId="77777777" w:rsidR="00020388" w:rsidRPr="00DC5376" w:rsidRDefault="00020388" w:rsidP="00020388">
      <w:pPr>
        <w:pStyle w:val="AmmCorpsTexte"/>
      </w:pPr>
      <w:r w:rsidRPr="00DC5376">
        <w:t>Tout médicament non utilisé ou déchet doit être éliminé conformément à la réglementation en vigueur.</w:t>
      </w:r>
    </w:p>
    <w:p w14:paraId="3F3596BF" w14:textId="77777777" w:rsidR="00020388" w:rsidRDefault="00020388" w:rsidP="00020388">
      <w:pPr>
        <w:pStyle w:val="AmmAnnexeTitre1"/>
        <w:rPr>
          <w:caps w:val="0"/>
        </w:rPr>
      </w:pPr>
      <w:r>
        <w:rPr>
          <w:caps w:val="0"/>
        </w:rPr>
        <w:t>7.</w:t>
      </w:r>
      <w:r>
        <w:rPr>
          <w:caps w:val="0"/>
        </w:rPr>
        <w:tab/>
        <w:t>TITULAIRE DE L’AUTORISATION DE MISE SUR LE MARCHE</w:t>
      </w:r>
      <w:bookmarkEnd w:id="28"/>
    </w:p>
    <w:p w14:paraId="05E4EE50" w14:textId="77777777" w:rsidR="00020388" w:rsidRPr="00020388" w:rsidRDefault="00020388" w:rsidP="00020388">
      <w:pPr>
        <w:pStyle w:val="AmmCorpsTexteGras"/>
        <w:spacing w:after="0"/>
      </w:pPr>
      <w:bookmarkStart w:id="29" w:name="_Toc142278943"/>
      <w:r w:rsidRPr="00020388">
        <w:t>PROVEPHARM SAS</w:t>
      </w:r>
    </w:p>
    <w:p w14:paraId="3A972D22" w14:textId="77777777" w:rsidR="00020388" w:rsidRPr="001846DF" w:rsidRDefault="00020388" w:rsidP="00020388">
      <w:pPr>
        <w:pStyle w:val="AmmCorpsTexte"/>
        <w:spacing w:after="0"/>
      </w:pPr>
      <w:r w:rsidRPr="001846DF">
        <w:t>22, RUE MARC DONADILLE</w:t>
      </w:r>
    </w:p>
    <w:p w14:paraId="54AB426C" w14:textId="77777777" w:rsidR="00020388" w:rsidRDefault="00020388" w:rsidP="00020388">
      <w:pPr>
        <w:pStyle w:val="AmmCorpsTexte"/>
        <w:spacing w:after="0"/>
      </w:pPr>
      <w:r>
        <w:t>13013 MARSEILLE</w:t>
      </w:r>
    </w:p>
    <w:p w14:paraId="4920179A" w14:textId="77777777" w:rsidR="00020388" w:rsidRDefault="00020388" w:rsidP="00020388">
      <w:pPr>
        <w:pStyle w:val="AmmAnnexeTitre1"/>
        <w:rPr>
          <w:caps w:val="0"/>
        </w:rPr>
      </w:pPr>
      <w:r>
        <w:rPr>
          <w:caps w:val="0"/>
        </w:rPr>
        <w:t>8.</w:t>
      </w:r>
      <w:r>
        <w:rPr>
          <w:caps w:val="0"/>
        </w:rPr>
        <w:tab/>
        <w:t>NUMERO(S) D’AUTORISATION DE MISE SUR LE MARCHE</w:t>
      </w:r>
      <w:bookmarkEnd w:id="29"/>
    </w:p>
    <w:p w14:paraId="6F365E23" w14:textId="77777777" w:rsidR="00020388" w:rsidRDefault="00020388" w:rsidP="00020388">
      <w:pPr>
        <w:pStyle w:val="AmmListePuces1"/>
      </w:pPr>
      <w:r w:rsidRPr="001727E2">
        <w:t>34009 550 875 0 2</w:t>
      </w:r>
      <w:r>
        <w:t> : ampoule (verre) de 5mL ; boite de 5.</w:t>
      </w:r>
    </w:p>
    <w:p w14:paraId="13C653D6" w14:textId="77777777" w:rsidR="00020388" w:rsidRPr="007821DC" w:rsidRDefault="00020388" w:rsidP="00020388">
      <w:pPr>
        <w:pStyle w:val="AmmAnnexeTitre1"/>
      </w:pPr>
      <w:bookmarkStart w:id="30" w:name="_Toc142278944"/>
      <w:r w:rsidRPr="007821DC">
        <w:t>9.</w:t>
      </w:r>
      <w:r w:rsidRPr="007821DC">
        <w:tab/>
        <w:t>DATE DE PREMIERE AUTORISATION/DE RENOUVELLEMENT DE L’AUTORISATION</w:t>
      </w:r>
      <w:bookmarkEnd w:id="30"/>
    </w:p>
    <w:p w14:paraId="3A8AFA9B" w14:textId="37719193" w:rsidR="00020388" w:rsidRPr="004A1082" w:rsidRDefault="00581CE9" w:rsidP="00020388">
      <w:pPr>
        <w:pStyle w:val="AmmCorpsTexte"/>
      </w:pPr>
      <w:bookmarkStart w:id="31" w:name="_Toc142278945"/>
      <w:r>
        <w:t>Date de première autorisation : 24 février 2022</w:t>
      </w:r>
    </w:p>
    <w:p w14:paraId="00BCD930" w14:textId="77777777" w:rsidR="00020388" w:rsidRDefault="00020388" w:rsidP="00020388">
      <w:pPr>
        <w:pStyle w:val="AmmAnnexeTitre1"/>
      </w:pPr>
      <w:r>
        <w:t>10.</w:t>
      </w:r>
      <w:r>
        <w:tab/>
        <w:t>DATE DE MISE A JOUR DU TEXTE</w:t>
      </w:r>
      <w:bookmarkEnd w:id="31"/>
    </w:p>
    <w:p w14:paraId="67E4C7D9" w14:textId="79878F3C" w:rsidR="00020388" w:rsidRPr="004A1082" w:rsidRDefault="00581CE9" w:rsidP="00020388">
      <w:pPr>
        <w:pStyle w:val="AmmCorpsTexte"/>
      </w:pPr>
      <w:bookmarkStart w:id="32" w:name="_Toc142278946"/>
      <w:r>
        <w:t>12 octobre 2023</w:t>
      </w:r>
    </w:p>
    <w:p w14:paraId="4ED3BFA0" w14:textId="77777777" w:rsidR="00020388" w:rsidRDefault="00020388" w:rsidP="00020388">
      <w:pPr>
        <w:pStyle w:val="AmmAnnexeTitre1"/>
        <w:ind w:left="0" w:firstLine="0"/>
        <w:rPr>
          <w:caps w:val="0"/>
        </w:rPr>
      </w:pPr>
      <w:r>
        <w:rPr>
          <w:caps w:val="0"/>
        </w:rPr>
        <w:t>11.</w:t>
      </w:r>
      <w:r>
        <w:rPr>
          <w:caps w:val="0"/>
        </w:rPr>
        <w:tab/>
        <w:t>DOSIMETRIE</w:t>
      </w:r>
      <w:bookmarkEnd w:id="32"/>
    </w:p>
    <w:p w14:paraId="2C6B42BB" w14:textId="77777777" w:rsidR="00020388" w:rsidRDefault="00020388" w:rsidP="00020388">
      <w:pPr>
        <w:pStyle w:val="AmmCorpsTexte"/>
      </w:pPr>
      <w:r>
        <w:t>Sans objet.</w:t>
      </w:r>
    </w:p>
    <w:p w14:paraId="29EBBF1A" w14:textId="77777777" w:rsidR="00020388" w:rsidRDefault="00020388" w:rsidP="00020388">
      <w:pPr>
        <w:pStyle w:val="AmmAnnexeTitre1"/>
        <w:ind w:left="0" w:firstLine="0"/>
        <w:rPr>
          <w:caps w:val="0"/>
        </w:rPr>
      </w:pPr>
      <w:bookmarkStart w:id="33" w:name="_Toc142278947"/>
      <w:r>
        <w:rPr>
          <w:caps w:val="0"/>
        </w:rPr>
        <w:t>12.</w:t>
      </w:r>
      <w:r>
        <w:rPr>
          <w:caps w:val="0"/>
        </w:rPr>
        <w:tab/>
        <w:t>INSTRUCTIONS POUR LA PREPARATION DES RADIOPHARMACEUTIQUES</w:t>
      </w:r>
      <w:bookmarkEnd w:id="33"/>
    </w:p>
    <w:p w14:paraId="540F00A4" w14:textId="77777777" w:rsidR="00020388" w:rsidRDefault="00020388" w:rsidP="00020388">
      <w:pPr>
        <w:pStyle w:val="AmmCorpsTexte"/>
      </w:pPr>
      <w:bookmarkStart w:id="34" w:name="_Toc142278948"/>
      <w:r>
        <w:t>Sans objet.</w:t>
      </w:r>
    </w:p>
    <w:p w14:paraId="5E987642" w14:textId="77777777" w:rsidR="00020388" w:rsidRDefault="00020388" w:rsidP="00020388">
      <w:pPr>
        <w:pStyle w:val="AmmAnnexeTitre"/>
        <w:pBdr>
          <w:top w:val="single" w:sz="4" w:space="1" w:color="auto"/>
        </w:pBdr>
        <w:rPr>
          <w:caps w:val="0"/>
        </w:rPr>
      </w:pPr>
      <w:r>
        <w:rPr>
          <w:caps w:val="0"/>
        </w:rPr>
        <w:t>CONDITIONS DE PRESCRIPTION ET DE DELIVRANCE</w:t>
      </w:r>
      <w:bookmarkEnd w:id="34"/>
    </w:p>
    <w:p w14:paraId="19FDA449" w14:textId="77777777" w:rsidR="00020388" w:rsidRDefault="00020388" w:rsidP="00020388">
      <w:pPr>
        <w:pStyle w:val="AmmCorpsTexte"/>
        <w:rPr>
          <w:szCs w:val="24"/>
        </w:rPr>
      </w:pPr>
      <w:r w:rsidRPr="00E179E8">
        <w:t>Liste I</w:t>
      </w:r>
    </w:p>
    <w:p w14:paraId="329443FC" w14:textId="77777777" w:rsidR="00020388" w:rsidRDefault="00020388" w:rsidP="00020388">
      <w:pPr>
        <w:pStyle w:val="AmmCorpsTexte"/>
        <w:rPr>
          <w:szCs w:val="24"/>
        </w:rPr>
      </w:pPr>
      <w:r>
        <w:rPr>
          <w:szCs w:val="24"/>
        </w:rPr>
        <w:t>M</w:t>
      </w:r>
      <w:r w:rsidRPr="00F47517">
        <w:rPr>
          <w:szCs w:val="24"/>
        </w:rPr>
        <w:t>édicament réservé à l’usage hospitalier</w:t>
      </w:r>
    </w:p>
    <w:p w14:paraId="3A93485B" w14:textId="512791AB" w:rsidR="00F5082B" w:rsidRDefault="00F5082B" w:rsidP="00020388"/>
    <w:sectPr w:rsidR="00F508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160A8"/>
    <w:multiLevelType w:val="multilevel"/>
    <w:tmpl w:val="20606084"/>
    <w:lvl w:ilvl="0">
      <w:start w:val="1"/>
      <w:numFmt w:val="bullet"/>
      <w:pStyle w:val="AmmListePuces1"/>
      <w:lvlText w:val=""/>
      <w:lvlJc w:val="left"/>
      <w:pPr>
        <w:tabs>
          <w:tab w:val="num" w:pos="360"/>
        </w:tabs>
        <w:ind w:left="360" w:hanging="360"/>
      </w:pPr>
      <w:rPr>
        <w:rFonts w:ascii="Symbol" w:hAnsi="Symbol" w:hint="default"/>
      </w:rPr>
    </w:lvl>
    <w:lvl w:ilvl="1">
      <w:start w:val="1"/>
      <w:numFmt w:val="upperLetter"/>
      <w:pStyle w:val="Titre2"/>
      <w:lvlText w:val="%2."/>
      <w:lvlJc w:val="left"/>
      <w:pPr>
        <w:tabs>
          <w:tab w:val="num" w:pos="1080"/>
        </w:tabs>
        <w:ind w:left="720" w:firstLine="0"/>
      </w:p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pStyle w:val="Titre5"/>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1" w15:restartNumberingAfterBreak="0">
    <w:nsid w:val="799C397D"/>
    <w:multiLevelType w:val="multilevel"/>
    <w:tmpl w:val="91EC8390"/>
    <w:lvl w:ilvl="0">
      <w:numFmt w:val="bullet"/>
      <w:lvlText w:val=""/>
      <w:lvlJc w:val="left"/>
      <w:pPr>
        <w:tabs>
          <w:tab w:val="num" w:pos="360"/>
        </w:tabs>
        <w:ind w:left="360" w:hanging="360"/>
      </w:pPr>
      <w:rPr>
        <w:rFonts w:ascii="Symbol" w:eastAsia="Times" w:hAnsi="Symbol" w:hint="default"/>
        <w:color w:val="auto"/>
        <w:lang w:val="fr-FR"/>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60562150">
    <w:abstractNumId w:val="0"/>
  </w:num>
  <w:num w:numId="2" w16cid:durableId="1137842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388"/>
    <w:rsid w:val="00020388"/>
    <w:rsid w:val="00581CE9"/>
    <w:rsid w:val="006308C7"/>
    <w:rsid w:val="00917676"/>
    <w:rsid w:val="00F508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A867"/>
  <w15:chartTrackingRefBased/>
  <w15:docId w15:val="{8AF19BF5-2FFB-4470-868E-8892EADD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388"/>
    <w:pPr>
      <w:spacing w:after="0" w:line="240" w:lineRule="auto"/>
      <w:jc w:val="both"/>
    </w:pPr>
    <w:rPr>
      <w:rFonts w:ascii="Arial Narrow" w:eastAsia="Times New Roman" w:hAnsi="Arial Narrow" w:cs="Times New Roman"/>
      <w:kern w:val="0"/>
      <w:szCs w:val="20"/>
      <w:lang w:eastAsia="fr-FR"/>
      <w14:ligatures w14:val="none"/>
    </w:rPr>
  </w:style>
  <w:style w:type="paragraph" w:styleId="Titre2">
    <w:name w:val="heading 2"/>
    <w:basedOn w:val="Normal"/>
    <w:next w:val="Normal"/>
    <w:link w:val="Titre2Car"/>
    <w:qFormat/>
    <w:rsid w:val="00020388"/>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020388"/>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qFormat/>
    <w:rsid w:val="00020388"/>
    <w:pPr>
      <w:keepNext/>
      <w:numPr>
        <w:ilvl w:val="3"/>
        <w:numId w:val="1"/>
      </w:numPr>
      <w:spacing w:before="240" w:after="60"/>
      <w:outlineLvl w:val="3"/>
    </w:pPr>
    <w:rPr>
      <w:rFonts w:ascii="Times New Roman" w:hAnsi="Times New Roman"/>
      <w:b/>
      <w:bCs/>
      <w:sz w:val="28"/>
      <w:szCs w:val="28"/>
    </w:rPr>
  </w:style>
  <w:style w:type="paragraph" w:styleId="Titre5">
    <w:name w:val="heading 5"/>
    <w:basedOn w:val="Normal"/>
    <w:next w:val="Normal"/>
    <w:link w:val="Titre5Car"/>
    <w:qFormat/>
    <w:rsid w:val="00020388"/>
    <w:pPr>
      <w:numPr>
        <w:ilvl w:val="4"/>
        <w:numId w:val="1"/>
      </w:numPr>
      <w:spacing w:before="240" w:after="60"/>
      <w:outlineLvl w:val="4"/>
    </w:pPr>
    <w:rPr>
      <w:b/>
      <w:bCs/>
      <w:i/>
      <w:iCs/>
      <w:sz w:val="26"/>
      <w:szCs w:val="26"/>
    </w:rPr>
  </w:style>
  <w:style w:type="paragraph" w:styleId="Titre6">
    <w:name w:val="heading 6"/>
    <w:basedOn w:val="Normal"/>
    <w:next w:val="Normal"/>
    <w:link w:val="Titre6Car"/>
    <w:qFormat/>
    <w:rsid w:val="00020388"/>
    <w:pPr>
      <w:numPr>
        <w:ilvl w:val="5"/>
        <w:numId w:val="1"/>
      </w:numPr>
      <w:spacing w:before="240" w:after="60"/>
      <w:outlineLvl w:val="5"/>
    </w:pPr>
    <w:rPr>
      <w:rFonts w:ascii="Times New Roman" w:hAnsi="Times New Roman"/>
      <w:b/>
      <w:bCs/>
      <w:szCs w:val="22"/>
    </w:rPr>
  </w:style>
  <w:style w:type="paragraph" w:styleId="Titre7">
    <w:name w:val="heading 7"/>
    <w:basedOn w:val="Normal"/>
    <w:next w:val="Normal"/>
    <w:link w:val="Titre7Car"/>
    <w:qFormat/>
    <w:rsid w:val="00020388"/>
    <w:pPr>
      <w:numPr>
        <w:ilvl w:val="6"/>
        <w:numId w:val="1"/>
      </w:numPr>
      <w:spacing w:before="240" w:after="60"/>
      <w:outlineLvl w:val="6"/>
    </w:pPr>
    <w:rPr>
      <w:rFonts w:ascii="Times New Roman" w:hAnsi="Times New Roman"/>
      <w:sz w:val="24"/>
      <w:szCs w:val="24"/>
    </w:rPr>
  </w:style>
  <w:style w:type="paragraph" w:styleId="Titre8">
    <w:name w:val="heading 8"/>
    <w:basedOn w:val="Normal"/>
    <w:next w:val="Normal"/>
    <w:link w:val="Titre8Car"/>
    <w:qFormat/>
    <w:rsid w:val="00020388"/>
    <w:pPr>
      <w:numPr>
        <w:ilvl w:val="7"/>
        <w:numId w:val="1"/>
      </w:numPr>
      <w:spacing w:before="240" w:after="60"/>
      <w:outlineLvl w:val="7"/>
    </w:pPr>
    <w:rPr>
      <w:rFonts w:ascii="Times New Roman" w:hAnsi="Times New Roman"/>
      <w:i/>
      <w:iCs/>
      <w:sz w:val="24"/>
      <w:szCs w:val="24"/>
    </w:rPr>
  </w:style>
  <w:style w:type="paragraph" w:styleId="Titre9">
    <w:name w:val="heading 9"/>
    <w:basedOn w:val="Normal"/>
    <w:next w:val="Normal"/>
    <w:link w:val="Titre9Car"/>
    <w:qFormat/>
    <w:rsid w:val="00020388"/>
    <w:pPr>
      <w:numPr>
        <w:ilvl w:val="8"/>
        <w:numId w:val="1"/>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020388"/>
    <w:rPr>
      <w:rFonts w:ascii="Arial" w:eastAsia="Times New Roman" w:hAnsi="Arial" w:cs="Arial"/>
      <w:b/>
      <w:bCs/>
      <w:i/>
      <w:iCs/>
      <w:kern w:val="0"/>
      <w:sz w:val="28"/>
      <w:szCs w:val="28"/>
      <w:lang w:eastAsia="fr-FR"/>
      <w14:ligatures w14:val="none"/>
    </w:rPr>
  </w:style>
  <w:style w:type="character" w:customStyle="1" w:styleId="Titre3Car">
    <w:name w:val="Titre 3 Car"/>
    <w:basedOn w:val="Policepardfaut"/>
    <w:link w:val="Titre3"/>
    <w:rsid w:val="00020388"/>
    <w:rPr>
      <w:rFonts w:ascii="Arial" w:eastAsia="Times New Roman" w:hAnsi="Arial" w:cs="Arial"/>
      <w:b/>
      <w:bCs/>
      <w:kern w:val="0"/>
      <w:sz w:val="26"/>
      <w:szCs w:val="26"/>
      <w:lang w:eastAsia="fr-FR"/>
      <w14:ligatures w14:val="none"/>
    </w:rPr>
  </w:style>
  <w:style w:type="character" w:customStyle="1" w:styleId="Titre4Car">
    <w:name w:val="Titre 4 Car"/>
    <w:basedOn w:val="Policepardfaut"/>
    <w:link w:val="Titre4"/>
    <w:rsid w:val="00020388"/>
    <w:rPr>
      <w:rFonts w:ascii="Times New Roman" w:eastAsia="Times New Roman" w:hAnsi="Times New Roman" w:cs="Times New Roman"/>
      <w:b/>
      <w:bCs/>
      <w:kern w:val="0"/>
      <w:sz w:val="28"/>
      <w:szCs w:val="28"/>
      <w:lang w:eastAsia="fr-FR"/>
      <w14:ligatures w14:val="none"/>
    </w:rPr>
  </w:style>
  <w:style w:type="character" w:customStyle="1" w:styleId="Titre5Car">
    <w:name w:val="Titre 5 Car"/>
    <w:basedOn w:val="Policepardfaut"/>
    <w:link w:val="Titre5"/>
    <w:rsid w:val="00020388"/>
    <w:rPr>
      <w:rFonts w:ascii="Arial Narrow" w:eastAsia="Times New Roman" w:hAnsi="Arial Narrow" w:cs="Times New Roman"/>
      <w:b/>
      <w:bCs/>
      <w:i/>
      <w:iCs/>
      <w:kern w:val="0"/>
      <w:sz w:val="26"/>
      <w:szCs w:val="26"/>
      <w:lang w:eastAsia="fr-FR"/>
      <w14:ligatures w14:val="none"/>
    </w:rPr>
  </w:style>
  <w:style w:type="character" w:customStyle="1" w:styleId="Titre6Car">
    <w:name w:val="Titre 6 Car"/>
    <w:basedOn w:val="Policepardfaut"/>
    <w:link w:val="Titre6"/>
    <w:rsid w:val="00020388"/>
    <w:rPr>
      <w:rFonts w:ascii="Times New Roman" w:eastAsia="Times New Roman" w:hAnsi="Times New Roman" w:cs="Times New Roman"/>
      <w:b/>
      <w:bCs/>
      <w:kern w:val="0"/>
      <w:lang w:eastAsia="fr-FR"/>
      <w14:ligatures w14:val="none"/>
    </w:rPr>
  </w:style>
  <w:style w:type="character" w:customStyle="1" w:styleId="Titre7Car">
    <w:name w:val="Titre 7 Car"/>
    <w:basedOn w:val="Policepardfaut"/>
    <w:link w:val="Titre7"/>
    <w:rsid w:val="00020388"/>
    <w:rPr>
      <w:rFonts w:ascii="Times New Roman" w:eastAsia="Times New Roman" w:hAnsi="Times New Roman" w:cs="Times New Roman"/>
      <w:kern w:val="0"/>
      <w:sz w:val="24"/>
      <w:szCs w:val="24"/>
      <w:lang w:eastAsia="fr-FR"/>
      <w14:ligatures w14:val="none"/>
    </w:rPr>
  </w:style>
  <w:style w:type="character" w:customStyle="1" w:styleId="Titre8Car">
    <w:name w:val="Titre 8 Car"/>
    <w:basedOn w:val="Policepardfaut"/>
    <w:link w:val="Titre8"/>
    <w:rsid w:val="00020388"/>
    <w:rPr>
      <w:rFonts w:ascii="Times New Roman" w:eastAsia="Times New Roman" w:hAnsi="Times New Roman" w:cs="Times New Roman"/>
      <w:i/>
      <w:iCs/>
      <w:kern w:val="0"/>
      <w:sz w:val="24"/>
      <w:szCs w:val="24"/>
      <w:lang w:eastAsia="fr-FR"/>
      <w14:ligatures w14:val="none"/>
    </w:rPr>
  </w:style>
  <w:style w:type="character" w:customStyle="1" w:styleId="Titre9Car">
    <w:name w:val="Titre 9 Car"/>
    <w:basedOn w:val="Policepardfaut"/>
    <w:link w:val="Titre9"/>
    <w:rsid w:val="00020388"/>
    <w:rPr>
      <w:rFonts w:ascii="Arial" w:eastAsia="Times New Roman" w:hAnsi="Arial" w:cs="Arial"/>
      <w:kern w:val="0"/>
      <w:lang w:eastAsia="fr-FR"/>
      <w14:ligatures w14:val="none"/>
    </w:rPr>
  </w:style>
  <w:style w:type="paragraph" w:customStyle="1" w:styleId="AmmListePuces1">
    <w:name w:val="AmmListePuces1"/>
    <w:basedOn w:val="AmmCorpsTexte"/>
    <w:link w:val="AmmListePuces1Car"/>
    <w:rsid w:val="00020388"/>
    <w:pPr>
      <w:numPr>
        <w:numId w:val="1"/>
      </w:numPr>
      <w:spacing w:after="0"/>
      <w:jc w:val="left"/>
    </w:pPr>
  </w:style>
  <w:style w:type="paragraph" w:customStyle="1" w:styleId="AmmCorpsTexte">
    <w:name w:val="AmmCorpsTexte"/>
    <w:basedOn w:val="Normal"/>
    <w:link w:val="AmmCorpsTexteCar"/>
    <w:qFormat/>
    <w:rsid w:val="00020388"/>
    <w:pPr>
      <w:spacing w:after="120"/>
    </w:pPr>
    <w:rPr>
      <w:rFonts w:ascii="Arial" w:hAnsi="Arial"/>
      <w:sz w:val="20"/>
    </w:rPr>
  </w:style>
  <w:style w:type="character" w:customStyle="1" w:styleId="AmmCorpsTexteCar">
    <w:name w:val="AmmCorpsTexte Car"/>
    <w:link w:val="AmmCorpsTexte"/>
    <w:rsid w:val="00020388"/>
    <w:rPr>
      <w:rFonts w:ascii="Arial" w:eastAsia="Times New Roman" w:hAnsi="Arial" w:cs="Times New Roman"/>
      <w:kern w:val="0"/>
      <w:sz w:val="20"/>
      <w:szCs w:val="20"/>
      <w:lang w:eastAsia="fr-FR"/>
      <w14:ligatures w14:val="none"/>
    </w:rPr>
  </w:style>
  <w:style w:type="paragraph" w:customStyle="1" w:styleId="AmmAnnexeTitre">
    <w:name w:val="AmmAnnexeTitre"/>
    <w:basedOn w:val="Normal"/>
    <w:next w:val="AmmCorpsTexte"/>
    <w:rsid w:val="00020388"/>
    <w:pPr>
      <w:spacing w:before="240"/>
      <w:jc w:val="center"/>
      <w:outlineLvl w:val="0"/>
    </w:pPr>
    <w:rPr>
      <w:rFonts w:ascii="Arial" w:hAnsi="Arial"/>
      <w:b/>
      <w:caps/>
      <w:color w:val="0B3D92"/>
      <w:sz w:val="24"/>
    </w:rPr>
  </w:style>
  <w:style w:type="paragraph" w:customStyle="1" w:styleId="AmmAnnexeSousTitre">
    <w:name w:val="AmmAnnexeSousTitre"/>
    <w:basedOn w:val="AmmAnnexeTitre"/>
    <w:next w:val="AmmCorpsTexte"/>
    <w:rsid w:val="00020388"/>
  </w:style>
  <w:style w:type="paragraph" w:customStyle="1" w:styleId="AmmAnnexeTitre1">
    <w:name w:val="AmmAnnexeTitre1"/>
    <w:basedOn w:val="Normal"/>
    <w:next w:val="AmmCorpsTexte"/>
    <w:rsid w:val="00020388"/>
    <w:pPr>
      <w:tabs>
        <w:tab w:val="left" w:pos="357"/>
      </w:tabs>
      <w:spacing w:before="240" w:after="120"/>
      <w:ind w:left="357" w:hanging="357"/>
      <w:outlineLvl w:val="1"/>
    </w:pPr>
    <w:rPr>
      <w:rFonts w:ascii="Arial" w:hAnsi="Arial"/>
      <w:b/>
      <w:caps/>
      <w:color w:val="0B3D92"/>
    </w:rPr>
  </w:style>
  <w:style w:type="paragraph" w:customStyle="1" w:styleId="AmmAnnexeTitre2">
    <w:name w:val="AmmAnnexeTitre2"/>
    <w:basedOn w:val="AmmCorpsTexte"/>
    <w:next w:val="AmmCorpsTexte"/>
    <w:autoRedefine/>
    <w:rsid w:val="00020388"/>
    <w:pPr>
      <w:keepNext/>
      <w:keepLines/>
      <w:tabs>
        <w:tab w:val="left" w:pos="0"/>
      </w:tabs>
      <w:spacing w:before="240"/>
      <w:outlineLvl w:val="2"/>
    </w:pPr>
    <w:rPr>
      <w:b/>
      <w:color w:val="0B3D92"/>
      <w:sz w:val="22"/>
    </w:rPr>
  </w:style>
  <w:style w:type="paragraph" w:customStyle="1" w:styleId="AmmAnnexeTitre3">
    <w:name w:val="AmmAnnexeTitre3"/>
    <w:basedOn w:val="AmmCorpsTexte"/>
    <w:next w:val="AmmCorpsTexte"/>
    <w:rsid w:val="00020388"/>
    <w:pPr>
      <w:keepNext/>
      <w:keepLines/>
      <w:spacing w:before="120"/>
    </w:pPr>
    <w:rPr>
      <w:b/>
      <w:u w:val="single"/>
    </w:rPr>
  </w:style>
  <w:style w:type="paragraph" w:customStyle="1" w:styleId="AmmAnnexeTitre4">
    <w:name w:val="AmmAnnexeTitre4"/>
    <w:basedOn w:val="AmmCorpsTexte"/>
    <w:next w:val="AmmCorpsTexte"/>
    <w:rsid w:val="00020388"/>
    <w:rPr>
      <w:i/>
      <w:u w:val="single"/>
    </w:rPr>
  </w:style>
  <w:style w:type="paragraph" w:customStyle="1" w:styleId="AmmComposition">
    <w:name w:val="AmmComposition"/>
    <w:basedOn w:val="AmmCorpsTexte"/>
    <w:next w:val="AmmCorpsTexte"/>
    <w:rsid w:val="00020388"/>
    <w:pPr>
      <w:tabs>
        <w:tab w:val="right" w:leader="dot" w:pos="9072"/>
      </w:tabs>
    </w:pPr>
  </w:style>
  <w:style w:type="paragraph" w:customStyle="1" w:styleId="AmmNoticeTitre1">
    <w:name w:val="AmmNoticeTitre1"/>
    <w:basedOn w:val="AmmCorpsTexte"/>
    <w:next w:val="AmmCorpsTexte"/>
    <w:autoRedefine/>
    <w:rsid w:val="00020388"/>
    <w:pPr>
      <w:spacing w:before="120"/>
      <w:outlineLvl w:val="1"/>
    </w:pPr>
    <w:rPr>
      <w:b/>
      <w:color w:val="0B3D92"/>
    </w:rPr>
  </w:style>
  <w:style w:type="paragraph" w:customStyle="1" w:styleId="AmmTitreEncadre">
    <w:name w:val="AmmTitreEncadre"/>
    <w:basedOn w:val="AmmCorpsTexte"/>
    <w:next w:val="Normal"/>
    <w:autoRedefine/>
    <w:rsid w:val="00020388"/>
    <w:pPr>
      <w:pBdr>
        <w:top w:val="single" w:sz="4" w:space="1" w:color="auto"/>
        <w:left w:val="single" w:sz="4" w:space="4" w:color="auto"/>
        <w:bottom w:val="single" w:sz="4" w:space="1" w:color="auto"/>
        <w:right w:val="single" w:sz="4" w:space="4" w:color="auto"/>
      </w:pBdr>
      <w:shd w:val="clear" w:color="auto" w:fill="D9D9D9"/>
      <w:tabs>
        <w:tab w:val="left" w:pos="357"/>
        <w:tab w:val="left" w:pos="776"/>
        <w:tab w:val="left" w:pos="1496"/>
        <w:tab w:val="left" w:pos="2216"/>
        <w:tab w:val="left" w:pos="2936"/>
        <w:tab w:val="left" w:pos="3656"/>
        <w:tab w:val="left" w:pos="4376"/>
        <w:tab w:val="left" w:pos="5096"/>
        <w:tab w:val="left" w:pos="5816"/>
        <w:tab w:val="left" w:pos="6536"/>
        <w:tab w:val="left" w:pos="7256"/>
        <w:tab w:val="left" w:pos="7976"/>
        <w:tab w:val="left" w:pos="8696"/>
      </w:tabs>
      <w:spacing w:before="240" w:after="240"/>
      <w:outlineLvl w:val="1"/>
    </w:pPr>
    <w:rPr>
      <w:b/>
      <w:caps/>
      <w:color w:val="2F5496"/>
      <w:sz w:val="22"/>
    </w:rPr>
  </w:style>
  <w:style w:type="paragraph" w:customStyle="1" w:styleId="AmmCorpsTexteGras">
    <w:name w:val="AmmCorpsTexteGras"/>
    <w:basedOn w:val="AmmCorpsTexte"/>
    <w:link w:val="AmmCorpsTexteGrasCar"/>
    <w:rsid w:val="00020388"/>
    <w:rPr>
      <w:b/>
      <w:bCs/>
    </w:rPr>
  </w:style>
  <w:style w:type="character" w:customStyle="1" w:styleId="AmmCorpsTexteGrasCar">
    <w:name w:val="AmmCorpsTexteGras Car"/>
    <w:link w:val="AmmCorpsTexteGras"/>
    <w:rsid w:val="00020388"/>
    <w:rPr>
      <w:rFonts w:ascii="Arial" w:eastAsia="Times New Roman" w:hAnsi="Arial" w:cs="Times New Roman"/>
      <w:b/>
      <w:bCs/>
      <w:kern w:val="0"/>
      <w:sz w:val="20"/>
      <w:szCs w:val="20"/>
      <w:lang w:eastAsia="fr-FR"/>
      <w14:ligatures w14:val="none"/>
    </w:rPr>
  </w:style>
  <w:style w:type="character" w:styleId="Lienhypertexte">
    <w:name w:val="Hyperlink"/>
    <w:unhideWhenUsed/>
    <w:rsid w:val="00020388"/>
    <w:rPr>
      <w:color w:val="0000FF"/>
      <w:u w:val="single"/>
    </w:rPr>
  </w:style>
  <w:style w:type="character" w:customStyle="1" w:styleId="gras">
    <w:name w:val="gras"/>
    <w:basedOn w:val="Policepardfaut"/>
    <w:rsid w:val="00020388"/>
  </w:style>
  <w:style w:type="character" w:customStyle="1" w:styleId="souligne">
    <w:name w:val="souligne"/>
    <w:basedOn w:val="Policepardfaut"/>
    <w:rsid w:val="00020388"/>
  </w:style>
  <w:style w:type="character" w:customStyle="1" w:styleId="AmmListePuces1Car">
    <w:name w:val="AmmListePuces1 Car"/>
    <w:link w:val="AmmListePuces1"/>
    <w:rsid w:val="00020388"/>
    <w:rPr>
      <w:rFonts w:ascii="Arial" w:eastAsia="Times New Roman" w:hAnsi="Arial" w:cs="Times New Roman"/>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gnalement.social-sante.gouv.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2014</Words>
  <Characters>11078</Characters>
  <Application>Microsoft Office Word</Application>
  <DocSecurity>0</DocSecurity>
  <Lines>92</Lines>
  <Paragraphs>26</Paragraphs>
  <ScaleCrop>false</ScaleCrop>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Noémie PESTA - Provepharm</dc:creator>
  <cp:keywords/>
  <dc:description/>
  <cp:lastModifiedBy>Noémie PESTA - Provepharm</cp:lastModifiedBy>
  <cp:revision>2</cp:revision>
  <dcterms:created xsi:type="dcterms:W3CDTF">2023-10-23T09:30:00Z</dcterms:created>
  <dcterms:modified xsi:type="dcterms:W3CDTF">2023-10-23T09:30:00Z</dcterms:modified>
</cp:coreProperties>
</file>